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CE4C" w14:textId="74D9D9F0" w:rsidR="004F6BFA" w:rsidRPr="00B17B7E" w:rsidRDefault="004F6BFA" w:rsidP="004F6BFA">
      <w:pPr>
        <w:jc w:val="center"/>
        <w:rPr>
          <w:rFonts w:cstheme="minorHAnsi"/>
          <w:b/>
          <w:bCs/>
          <w:color w:val="000000" w:themeColor="text1"/>
        </w:rPr>
      </w:pPr>
      <w:r w:rsidRPr="00B17B7E">
        <w:rPr>
          <w:rFonts w:cstheme="minorHAnsi"/>
          <w:b/>
          <w:bCs/>
          <w:color w:val="000000" w:themeColor="text1"/>
        </w:rPr>
        <w:t xml:space="preserve">Standards </w:t>
      </w:r>
      <w:r w:rsidR="00244914">
        <w:rPr>
          <w:rFonts w:cstheme="minorHAnsi"/>
          <w:b/>
          <w:bCs/>
          <w:color w:val="000000" w:themeColor="text1"/>
        </w:rPr>
        <w:t>Identified</w:t>
      </w:r>
      <w:r w:rsidRPr="00B17B7E">
        <w:rPr>
          <w:rFonts w:cstheme="minorHAnsi"/>
          <w:b/>
          <w:bCs/>
          <w:color w:val="000000" w:themeColor="text1"/>
        </w:rPr>
        <w:t xml:space="preserve"> for </w:t>
      </w:r>
      <w:r w:rsidR="00247AC0" w:rsidRPr="00B17B7E">
        <w:rPr>
          <w:rFonts w:cstheme="minorHAnsi"/>
          <w:b/>
          <w:bCs/>
          <w:color w:val="000000" w:themeColor="text1"/>
        </w:rPr>
        <w:t>AEL 636</w:t>
      </w:r>
    </w:p>
    <w:p w14:paraId="1E923E06" w14:textId="77777777" w:rsidR="004F6BFA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</w:p>
    <w:p w14:paraId="588B73E5" w14:textId="10300DE8" w:rsidR="004F6BFA" w:rsidRPr="001F66FC" w:rsidRDefault="004F6BFA" w:rsidP="004F6BFA">
      <w:pPr>
        <w:jc w:val="center"/>
        <w:rPr>
          <w:rFonts w:cstheme="minorHAnsi"/>
          <w:b/>
          <w:bCs/>
          <w:color w:val="C00000"/>
          <w:sz w:val="20"/>
          <w:szCs w:val="20"/>
        </w:rPr>
      </w:pPr>
      <w:r w:rsidRPr="001F66FC">
        <w:rPr>
          <w:rFonts w:cstheme="minorHAnsi"/>
          <w:b/>
          <w:bCs/>
          <w:color w:val="C00000"/>
          <w:sz w:val="20"/>
          <w:szCs w:val="20"/>
        </w:rPr>
        <w:t>National Board for Professional Teaching Standards</w:t>
      </w:r>
    </w:p>
    <w:p w14:paraId="78E9F1BB" w14:textId="77777777" w:rsidR="004F6BFA" w:rsidRDefault="004F6BFA" w:rsidP="004F6BFA">
      <w:pPr>
        <w:jc w:val="center"/>
        <w:rPr>
          <w:rFonts w:cstheme="minorHAnsi"/>
          <w:sz w:val="20"/>
          <w:szCs w:val="20"/>
        </w:rPr>
      </w:pPr>
    </w:p>
    <w:p w14:paraId="41EB7A8F" w14:textId="77777777" w:rsidR="004F6BFA" w:rsidRPr="001F66FC" w:rsidRDefault="004F6BFA" w:rsidP="004F6BFA">
      <w:pPr>
        <w:rPr>
          <w:rFonts w:cstheme="minorHAnsi"/>
          <w:sz w:val="20"/>
          <w:szCs w:val="20"/>
        </w:rPr>
      </w:pPr>
      <w:r w:rsidRPr="001F66FC">
        <w:rPr>
          <w:rFonts w:cstheme="minorHAnsi"/>
          <w:sz w:val="20"/>
          <w:szCs w:val="20"/>
        </w:rPr>
        <w:t xml:space="preserve">The </w:t>
      </w:r>
      <w:r w:rsidRPr="001F66FC">
        <w:rPr>
          <w:rFonts w:cstheme="minorHAnsi"/>
          <w:b/>
          <w:bCs/>
          <w:i/>
          <w:iCs/>
          <w:color w:val="C00000"/>
          <w:sz w:val="20"/>
          <w:szCs w:val="20"/>
        </w:rPr>
        <w:t>National Board Five Core Propositions and Standards (NBPTS)</w:t>
      </w:r>
      <w:r w:rsidRPr="001F66FC">
        <w:rPr>
          <w:rFonts w:cstheme="minorHAnsi"/>
          <w:color w:val="C00000"/>
          <w:sz w:val="20"/>
          <w:szCs w:val="20"/>
        </w:rPr>
        <w:t xml:space="preserve"> </w:t>
      </w:r>
      <w:r w:rsidRPr="001F66FC">
        <w:rPr>
          <w:rFonts w:cstheme="minorHAnsi"/>
          <w:sz w:val="20"/>
          <w:szCs w:val="20"/>
        </w:rPr>
        <w:t xml:space="preserve">describe what accomplished </w:t>
      </w:r>
      <w:r w:rsidRPr="001F66FC">
        <w:rPr>
          <w:rFonts w:cstheme="minorHAnsi"/>
          <w:b/>
          <w:bCs/>
          <w:sz w:val="20"/>
          <w:szCs w:val="20"/>
        </w:rPr>
        <w:t>teachers</w:t>
      </w:r>
      <w:r w:rsidRPr="001F66FC">
        <w:rPr>
          <w:rFonts w:cstheme="minorHAnsi"/>
          <w:sz w:val="20"/>
          <w:szCs w:val="20"/>
        </w:rPr>
        <w:t xml:space="preserve"> should know and be able to do to have a positive impact on student learning.</w:t>
      </w:r>
    </w:p>
    <w:p w14:paraId="283E7191" w14:textId="77777777" w:rsidR="00DD5B5D" w:rsidRPr="004F6BFA" w:rsidRDefault="00DD5B5D" w:rsidP="00247AC0">
      <w:pPr>
        <w:rPr>
          <w:color w:val="000000" w:themeColor="text1"/>
          <w:sz w:val="20"/>
          <w:szCs w:val="20"/>
        </w:rPr>
      </w:pPr>
    </w:p>
    <w:p w14:paraId="7E977E12" w14:textId="7B123971" w:rsidR="00DD5B5D" w:rsidRPr="00247AC0" w:rsidRDefault="00DD5B5D" w:rsidP="00247AC0">
      <w:pPr>
        <w:pStyle w:val="ListParagraph"/>
        <w:numPr>
          <w:ilvl w:val="0"/>
          <w:numId w:val="3"/>
        </w:numPr>
        <w:ind w:left="360"/>
        <w:rPr>
          <w:color w:val="000000" w:themeColor="text1"/>
          <w:sz w:val="20"/>
          <w:szCs w:val="20"/>
        </w:rPr>
      </w:pPr>
      <w:r w:rsidRPr="00247AC0">
        <w:rPr>
          <w:color w:val="000000" w:themeColor="text1"/>
          <w:sz w:val="20"/>
          <w:szCs w:val="20"/>
        </w:rPr>
        <w:t>Content Knowledge: Proposition 2: Teachers know the subjects they teach and how to teach those subjects to students</w:t>
      </w:r>
      <w:r w:rsidR="00B543F3" w:rsidRPr="00247AC0">
        <w:rPr>
          <w:color w:val="000000" w:themeColor="text1"/>
          <w:sz w:val="20"/>
          <w:szCs w:val="20"/>
        </w:rPr>
        <w:t>.</w:t>
      </w:r>
    </w:p>
    <w:p w14:paraId="14CC73CD" w14:textId="77777777" w:rsidR="00DD5B5D" w:rsidRPr="004F6BFA" w:rsidRDefault="00DD5B5D" w:rsidP="00DD5B5D">
      <w:pPr>
        <w:ind w:left="360"/>
        <w:rPr>
          <w:color w:val="000000" w:themeColor="text1"/>
          <w:sz w:val="20"/>
          <w:szCs w:val="20"/>
        </w:rPr>
      </w:pPr>
    </w:p>
    <w:p w14:paraId="12B201D6" w14:textId="77777777" w:rsidR="00AB29A9" w:rsidRPr="00D231F5" w:rsidRDefault="00AB29A9" w:rsidP="00AB29A9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color w:val="000000" w:themeColor="text1"/>
        </w:rPr>
        <w:br w:type="column"/>
      </w:r>
      <w:r w:rsidRPr="00D231F5">
        <w:rPr>
          <w:b/>
          <w:bCs/>
          <w:color w:val="C00000"/>
          <w:sz w:val="20"/>
          <w:szCs w:val="20"/>
        </w:rPr>
        <w:lastRenderedPageBreak/>
        <w:t>CAEP Standards</w:t>
      </w:r>
    </w:p>
    <w:p w14:paraId="51FD176D" w14:textId="77777777" w:rsidR="00AB29A9" w:rsidRPr="00D231F5" w:rsidRDefault="00AB29A9" w:rsidP="00AB29A9">
      <w:pPr>
        <w:rPr>
          <w:rFonts w:cstheme="minorHAnsi"/>
          <w:b/>
          <w:bCs/>
          <w:i/>
          <w:iCs/>
          <w:sz w:val="20"/>
          <w:szCs w:val="20"/>
        </w:rPr>
      </w:pPr>
    </w:p>
    <w:p w14:paraId="7578A2A3" w14:textId="77777777" w:rsidR="00AB29A9" w:rsidRPr="009C703C" w:rsidRDefault="00AB29A9" w:rsidP="00AB29A9">
      <w:pPr>
        <w:rPr>
          <w:rFonts w:cstheme="minorHAnsi"/>
          <w:color w:val="000000" w:themeColor="text1"/>
          <w:sz w:val="20"/>
          <w:szCs w:val="20"/>
        </w:rPr>
      </w:pP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D231F5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CAEP Standards for Accreditation at the Advanced-Level</w:t>
      </w:r>
      <w:r w:rsidRPr="00D231F5">
        <w:rPr>
          <w:rFonts w:cstheme="minorHAnsi"/>
          <w:color w:val="C00000"/>
          <w:sz w:val="20"/>
          <w:szCs w:val="20"/>
          <w:shd w:val="clear" w:color="auto" w:fill="FFFFFF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>reflect the voice of the education field – on what makes a quality educator.</w:t>
      </w:r>
      <w:r w:rsidRPr="00D231F5">
        <w:rPr>
          <w:rFonts w:cstheme="minorHAnsi"/>
          <w:color w:val="000000" w:themeColor="text1"/>
          <w:sz w:val="20"/>
          <w:szCs w:val="20"/>
        </w:rPr>
        <w:t xml:space="preserve"> </w:t>
      </w:r>
      <w:r w:rsidRPr="00D231F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Advanced-level programs are designed to develop P-12 teachers who have already completed an initial preparation program, currently licensed administrators, other certificated (or similar state language) school professionals for employment in P-12 schools/districts. </w:t>
      </w:r>
      <w:r w:rsidRPr="00D231F5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CAEP Standards must be met by all advanced certification students. </w:t>
      </w:r>
    </w:p>
    <w:p w14:paraId="081119AE" w14:textId="77777777" w:rsidR="00AB29A9" w:rsidRPr="00D231F5" w:rsidRDefault="00AB29A9" w:rsidP="00AB29A9">
      <w:pPr>
        <w:rPr>
          <w:color w:val="000000" w:themeColor="text1"/>
          <w:sz w:val="20"/>
          <w:szCs w:val="20"/>
        </w:rPr>
      </w:pPr>
    </w:p>
    <w:p w14:paraId="1312D672" w14:textId="77777777" w:rsidR="00AB29A9" w:rsidRPr="00D231F5" w:rsidRDefault="00AB29A9" w:rsidP="00AB29A9">
      <w:pPr>
        <w:pStyle w:val="ListParagraph"/>
        <w:numPr>
          <w:ilvl w:val="0"/>
          <w:numId w:val="2"/>
        </w:numPr>
        <w:ind w:left="360"/>
        <w:rPr>
          <w:color w:val="000000" w:themeColor="text1"/>
          <w:sz w:val="20"/>
          <w:szCs w:val="20"/>
        </w:rPr>
      </w:pPr>
      <w:r w:rsidRPr="00D231F5">
        <w:rPr>
          <w:color w:val="000000" w:themeColor="text1"/>
          <w:sz w:val="20"/>
          <w:szCs w:val="20"/>
        </w:rPr>
        <w:t>Content Knowledge: Supporting appropriate APPLICATIONS of TECHNOLOGY for their field of specialization.</w:t>
      </w:r>
    </w:p>
    <w:p w14:paraId="54B989A9" w14:textId="77777777" w:rsidR="00AB29A9" w:rsidRPr="00D231F5" w:rsidRDefault="00AB29A9" w:rsidP="00AB29A9">
      <w:pPr>
        <w:ind w:left="360"/>
        <w:rPr>
          <w:color w:val="000000" w:themeColor="text1"/>
          <w:sz w:val="20"/>
          <w:szCs w:val="20"/>
        </w:rPr>
      </w:pPr>
    </w:p>
    <w:p w14:paraId="480E5503" w14:textId="77777777" w:rsidR="00FC3847" w:rsidRPr="00DC0D60" w:rsidRDefault="00FC3847" w:rsidP="00FC3847">
      <w:pPr>
        <w:jc w:val="center"/>
        <w:rPr>
          <w:b/>
          <w:bCs/>
          <w:color w:val="C00000"/>
          <w:sz w:val="20"/>
          <w:szCs w:val="20"/>
        </w:rPr>
      </w:pPr>
      <w:r>
        <w:rPr>
          <w:color w:val="000000" w:themeColor="text1"/>
        </w:rPr>
        <w:br w:type="column"/>
      </w:r>
      <w:r w:rsidRPr="00DC0D60">
        <w:rPr>
          <w:b/>
          <w:bCs/>
          <w:color w:val="C00000"/>
          <w:sz w:val="20"/>
          <w:szCs w:val="20"/>
        </w:rPr>
        <w:lastRenderedPageBreak/>
        <w:t>ISTE Standards and Components</w:t>
      </w:r>
    </w:p>
    <w:p w14:paraId="68E03FAF" w14:textId="77777777" w:rsidR="00FC3847" w:rsidRPr="00DC0D60" w:rsidRDefault="00FC3847" w:rsidP="00FC3847">
      <w:pPr>
        <w:jc w:val="center"/>
        <w:rPr>
          <w:b/>
          <w:bCs/>
          <w:color w:val="C00000"/>
          <w:sz w:val="20"/>
          <w:szCs w:val="20"/>
        </w:rPr>
      </w:pPr>
      <w:r w:rsidRPr="00DC0D60">
        <w:rPr>
          <w:b/>
          <w:bCs/>
          <w:color w:val="C00000"/>
          <w:sz w:val="20"/>
          <w:szCs w:val="20"/>
        </w:rPr>
        <w:t>For Education Leaders</w:t>
      </w:r>
    </w:p>
    <w:p w14:paraId="7DF8167B" w14:textId="77777777" w:rsidR="00FC3847" w:rsidRDefault="00FC3847" w:rsidP="00FC3847">
      <w:pPr>
        <w:rPr>
          <w:rFonts w:eastAsia="Times New Roman" w:cstheme="minorHAnsi"/>
          <w:color w:val="000000" w:themeColor="text1"/>
          <w:shd w:val="clear" w:color="auto" w:fill="FFFFFF"/>
        </w:rPr>
      </w:pPr>
    </w:p>
    <w:p w14:paraId="31835AD4" w14:textId="77777777" w:rsidR="00FC3847" w:rsidRPr="003A1DB1" w:rsidRDefault="00FC3847" w:rsidP="00FC3847">
      <w:pPr>
        <w:rPr>
          <w:rFonts w:eastAsia="Times New Roman" w:cstheme="minorHAnsi"/>
          <w:sz w:val="20"/>
          <w:szCs w:val="20"/>
        </w:rPr>
      </w:pPr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The ISTE Standards for Education Leaders support the implementation of the ISTE Standards for Students and the ISTE Standards for Educators and provide a framework for guiding digital age learning. These standards target the knowledge and behaviors required for leaders to empower teachers and make student learning possible. They’re focused on some of the </w:t>
      </w:r>
      <w:proofErr w:type="gramStart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most timely</w:t>
      </w:r>
      <w:proofErr w:type="gramEnd"/>
      <w:r w:rsidRPr="003A1DB1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, yet enduring, topics in education today – equity, digital citizenship, visioneering, team and systems building, continuous improvement and professional growth. </w:t>
      </w:r>
      <w:r w:rsidRPr="003A1DB1">
        <w:rPr>
          <w:rFonts w:eastAsia="Times New Roman" w:cstheme="minorHAnsi"/>
          <w:color w:val="58585B"/>
          <w:sz w:val="20"/>
          <w:szCs w:val="20"/>
          <w:shd w:val="clear" w:color="auto" w:fill="FFFFFF"/>
        </w:rPr>
        <w:t>(</w:t>
      </w:r>
      <w:hyperlink r:id="rId5" w:history="1">
        <w:r w:rsidRPr="003A1DB1">
          <w:rPr>
            <w:rFonts w:eastAsia="Times New Roman" w:cstheme="minorHAnsi"/>
            <w:color w:val="0000FF"/>
            <w:sz w:val="20"/>
            <w:szCs w:val="20"/>
            <w:u w:val="single"/>
          </w:rPr>
          <w:t>https://www.iste.org/standards/for-education-leaders</w:t>
        </w:r>
      </w:hyperlink>
      <w:r w:rsidRPr="003A1DB1">
        <w:rPr>
          <w:rFonts w:eastAsia="Times New Roman" w:cstheme="minorHAnsi"/>
          <w:sz w:val="20"/>
          <w:szCs w:val="20"/>
        </w:rPr>
        <w:t>)</w:t>
      </w:r>
    </w:p>
    <w:p w14:paraId="6E5DE538" w14:textId="17405175" w:rsidR="00DD5B5D" w:rsidRDefault="00DD5B5D" w:rsidP="00FC3847">
      <w:pPr>
        <w:rPr>
          <w:color w:val="000000" w:themeColor="text1"/>
        </w:rPr>
      </w:pPr>
    </w:p>
    <w:p w14:paraId="10A5924F" w14:textId="77777777" w:rsidR="00FC3847" w:rsidRPr="003A1DB1" w:rsidRDefault="00FC3847" w:rsidP="00FC384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A1DB1">
        <w:rPr>
          <w:sz w:val="20"/>
          <w:szCs w:val="20"/>
        </w:rPr>
        <w:t>Equity and Citizenship Advocate: Leaders use technology to increase equity, inclusion, and digital citizenship practices.</w:t>
      </w:r>
    </w:p>
    <w:p w14:paraId="3AEA9227" w14:textId="77777777" w:rsidR="00FC3847" w:rsidRPr="003A1DB1" w:rsidRDefault="00FC3847" w:rsidP="00FC3847">
      <w:pPr>
        <w:ind w:left="360"/>
        <w:rPr>
          <w:sz w:val="20"/>
          <w:szCs w:val="20"/>
        </w:rPr>
      </w:pPr>
    </w:p>
    <w:p w14:paraId="148DF229" w14:textId="77777777" w:rsidR="00FC3847" w:rsidRPr="003A1DB1" w:rsidRDefault="00FC3847" w:rsidP="00FC3847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Ensure all students have access to the technology and connectivity necessary to participate in authentic and engaging learning opportunities.</w:t>
      </w:r>
    </w:p>
    <w:p w14:paraId="248FD302" w14:textId="77777777" w:rsidR="00FC3847" w:rsidRPr="003A1DB1" w:rsidRDefault="00FC3847" w:rsidP="00FC3847">
      <w:pPr>
        <w:pStyle w:val="ListParagraph"/>
        <w:numPr>
          <w:ilvl w:val="0"/>
          <w:numId w:val="5"/>
        </w:numPr>
        <w:ind w:left="720"/>
        <w:rPr>
          <w:sz w:val="20"/>
          <w:szCs w:val="20"/>
        </w:rPr>
      </w:pPr>
      <w:r w:rsidRPr="003A1DB1">
        <w:rPr>
          <w:sz w:val="20"/>
          <w:szCs w:val="20"/>
        </w:rPr>
        <w:t>Model digital citizenship by critically evaluating online resources, engaging in civil discourse online and using digital tools to contribute to positive social change.</w:t>
      </w:r>
    </w:p>
    <w:p w14:paraId="21E67027" w14:textId="77777777" w:rsidR="00FC3847" w:rsidRPr="00C512EA" w:rsidRDefault="00FC3847" w:rsidP="00FC3847">
      <w:pPr>
        <w:rPr>
          <w:color w:val="000000" w:themeColor="text1"/>
        </w:rPr>
      </w:pPr>
    </w:p>
    <w:sectPr w:rsidR="00FC3847" w:rsidRPr="00C512EA" w:rsidSect="00A8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E3A"/>
    <w:multiLevelType w:val="hybridMultilevel"/>
    <w:tmpl w:val="DFFC5778"/>
    <w:lvl w:ilvl="0" w:tplc="038C90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598"/>
    <w:multiLevelType w:val="hybridMultilevel"/>
    <w:tmpl w:val="3CD66084"/>
    <w:lvl w:ilvl="0" w:tplc="9B2C7A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136C4"/>
    <w:multiLevelType w:val="hybridMultilevel"/>
    <w:tmpl w:val="EAC66C14"/>
    <w:lvl w:ilvl="0" w:tplc="237CBC1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36C05"/>
    <w:multiLevelType w:val="hybridMultilevel"/>
    <w:tmpl w:val="FCA28C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ED70BB"/>
    <w:multiLevelType w:val="hybridMultilevel"/>
    <w:tmpl w:val="0296A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413778">
    <w:abstractNumId w:val="4"/>
  </w:num>
  <w:num w:numId="2" w16cid:durableId="1146164327">
    <w:abstractNumId w:val="1"/>
  </w:num>
  <w:num w:numId="3" w16cid:durableId="1445927823">
    <w:abstractNumId w:val="0"/>
  </w:num>
  <w:num w:numId="4" w16cid:durableId="1116438507">
    <w:abstractNumId w:val="3"/>
  </w:num>
  <w:num w:numId="5" w16cid:durableId="965504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0"/>
    <w:rsid w:val="00087C9B"/>
    <w:rsid w:val="00110E71"/>
    <w:rsid w:val="00186FBD"/>
    <w:rsid w:val="001E346E"/>
    <w:rsid w:val="001F623A"/>
    <w:rsid w:val="00204133"/>
    <w:rsid w:val="00244914"/>
    <w:rsid w:val="00246ED7"/>
    <w:rsid w:val="00247AC0"/>
    <w:rsid w:val="0027072E"/>
    <w:rsid w:val="00294C99"/>
    <w:rsid w:val="00322892"/>
    <w:rsid w:val="00390FDD"/>
    <w:rsid w:val="003B2C6D"/>
    <w:rsid w:val="003B7138"/>
    <w:rsid w:val="003C2F83"/>
    <w:rsid w:val="004071F4"/>
    <w:rsid w:val="00427BC8"/>
    <w:rsid w:val="004711C1"/>
    <w:rsid w:val="004C3340"/>
    <w:rsid w:val="004F0517"/>
    <w:rsid w:val="004F6BFA"/>
    <w:rsid w:val="0054010F"/>
    <w:rsid w:val="006B0770"/>
    <w:rsid w:val="00711B6A"/>
    <w:rsid w:val="00715B21"/>
    <w:rsid w:val="00777075"/>
    <w:rsid w:val="0082059A"/>
    <w:rsid w:val="0082732E"/>
    <w:rsid w:val="00954E78"/>
    <w:rsid w:val="009759EF"/>
    <w:rsid w:val="0099472C"/>
    <w:rsid w:val="009A063F"/>
    <w:rsid w:val="00A85F43"/>
    <w:rsid w:val="00A919A0"/>
    <w:rsid w:val="00AB29A9"/>
    <w:rsid w:val="00AC1F0E"/>
    <w:rsid w:val="00AC6366"/>
    <w:rsid w:val="00AD5B18"/>
    <w:rsid w:val="00AE0ACC"/>
    <w:rsid w:val="00B17B7E"/>
    <w:rsid w:val="00B543F3"/>
    <w:rsid w:val="00B63115"/>
    <w:rsid w:val="00B840F1"/>
    <w:rsid w:val="00BE51E8"/>
    <w:rsid w:val="00BF0090"/>
    <w:rsid w:val="00C512EA"/>
    <w:rsid w:val="00C61E70"/>
    <w:rsid w:val="00CC163B"/>
    <w:rsid w:val="00D102BA"/>
    <w:rsid w:val="00D118E1"/>
    <w:rsid w:val="00D617F4"/>
    <w:rsid w:val="00DD47D9"/>
    <w:rsid w:val="00DD5B5D"/>
    <w:rsid w:val="00E972D9"/>
    <w:rsid w:val="00ED1821"/>
    <w:rsid w:val="00F037D0"/>
    <w:rsid w:val="00F6039C"/>
    <w:rsid w:val="00F70A2B"/>
    <w:rsid w:val="00F90862"/>
    <w:rsid w:val="00FC3847"/>
    <w:rsid w:val="00FE727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5ED8"/>
  <w15:chartTrackingRefBased/>
  <w15:docId w15:val="{6E285013-B4B1-8647-A18C-65348E85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e.org/standards/for-education-lead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Matherson, Lisa</dc:creator>
  <cp:keywords/>
  <dc:description/>
  <cp:lastModifiedBy>Lisa Matherson</cp:lastModifiedBy>
  <cp:revision>6</cp:revision>
  <dcterms:created xsi:type="dcterms:W3CDTF">2023-07-11T16:02:00Z</dcterms:created>
  <dcterms:modified xsi:type="dcterms:W3CDTF">2023-07-12T19:24:00Z</dcterms:modified>
</cp:coreProperties>
</file>