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5699" w14:textId="355A89A3" w:rsidR="007F3588" w:rsidRDefault="007F3588" w:rsidP="007F358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Standards Identified for AEL 527</w:t>
      </w:r>
    </w:p>
    <w:p w14:paraId="5C5D9263" w14:textId="77777777" w:rsidR="007F3588" w:rsidRDefault="007F3588" w:rsidP="0082059A">
      <w:pPr>
        <w:rPr>
          <w:rFonts w:cstheme="minorHAnsi"/>
        </w:rPr>
      </w:pPr>
    </w:p>
    <w:p w14:paraId="4EF47B38" w14:textId="77777777" w:rsidR="00841038" w:rsidRPr="001F66FC" w:rsidRDefault="00841038" w:rsidP="00841038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1427FAF9" w14:textId="77777777" w:rsidR="00841038" w:rsidRDefault="00841038" w:rsidP="00841038">
      <w:pPr>
        <w:jc w:val="center"/>
        <w:rPr>
          <w:rFonts w:cstheme="minorHAnsi"/>
          <w:sz w:val="20"/>
          <w:szCs w:val="20"/>
        </w:rPr>
      </w:pPr>
    </w:p>
    <w:p w14:paraId="5CD3DDF3" w14:textId="77777777" w:rsidR="00841038" w:rsidRPr="001F66FC" w:rsidRDefault="00841038" w:rsidP="00841038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23B7C9B" w14:textId="77777777" w:rsidR="00DD5B5D" w:rsidRDefault="00DD5B5D" w:rsidP="0082059A"/>
    <w:p w14:paraId="6F283859" w14:textId="18BC01E7" w:rsidR="00DD5B5D" w:rsidRPr="00841038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841038">
        <w:rPr>
          <w:color w:val="000000" w:themeColor="text1"/>
          <w:sz w:val="20"/>
          <w:szCs w:val="20"/>
        </w:rPr>
        <w:t>The Learning and Learning: Proposition 1: Teachers are committed to students and their learning</w:t>
      </w:r>
      <w:r w:rsidR="00B543F3" w:rsidRPr="00841038">
        <w:rPr>
          <w:color w:val="000000" w:themeColor="text1"/>
          <w:sz w:val="20"/>
          <w:szCs w:val="20"/>
        </w:rPr>
        <w:t>.</w:t>
      </w:r>
    </w:p>
    <w:p w14:paraId="750699DA" w14:textId="77777777" w:rsidR="00DD5B5D" w:rsidRPr="00841038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19493337" w14:textId="7FA1B2BD" w:rsidR="00DD5B5D" w:rsidRPr="00841038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841038">
        <w:rPr>
          <w:color w:val="000000" w:themeColor="text1"/>
          <w:sz w:val="20"/>
          <w:szCs w:val="20"/>
        </w:rPr>
        <w:t>Learning Environments: Proposition 1: Teachers are committed to students and their learning</w:t>
      </w:r>
      <w:r w:rsidR="00B543F3" w:rsidRPr="00841038">
        <w:rPr>
          <w:color w:val="000000" w:themeColor="text1"/>
          <w:sz w:val="20"/>
          <w:szCs w:val="20"/>
        </w:rPr>
        <w:t>.</w:t>
      </w:r>
      <w:r w:rsidRPr="00841038">
        <w:rPr>
          <w:color w:val="000000" w:themeColor="text1"/>
          <w:sz w:val="20"/>
          <w:szCs w:val="20"/>
        </w:rPr>
        <w:t xml:space="preserve"> </w:t>
      </w:r>
    </w:p>
    <w:p w14:paraId="283E7191" w14:textId="77777777" w:rsidR="00DD5B5D" w:rsidRPr="00841038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7E977E12" w14:textId="7952EE5C" w:rsidR="00DD5B5D" w:rsidRPr="00841038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841038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="00B543F3" w:rsidRPr="00841038">
        <w:rPr>
          <w:color w:val="000000" w:themeColor="text1"/>
          <w:sz w:val="20"/>
          <w:szCs w:val="20"/>
        </w:rPr>
        <w:t>.</w:t>
      </w:r>
    </w:p>
    <w:p w14:paraId="14CC73CD" w14:textId="77777777" w:rsidR="00DD5B5D" w:rsidRPr="00841038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02832B4F" w14:textId="7D8F4504" w:rsidR="00DD5B5D" w:rsidRPr="00841038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841038">
        <w:rPr>
          <w:color w:val="000000" w:themeColor="text1"/>
          <w:sz w:val="20"/>
          <w:szCs w:val="20"/>
        </w:rPr>
        <w:t>Instructional Practice: Proposition 3: Teachers are responsible for managing and monitoring student learning</w:t>
      </w:r>
      <w:r w:rsidR="00B543F3" w:rsidRPr="00841038">
        <w:rPr>
          <w:color w:val="000000" w:themeColor="text1"/>
          <w:sz w:val="20"/>
          <w:szCs w:val="20"/>
        </w:rPr>
        <w:t>.</w:t>
      </w:r>
    </w:p>
    <w:p w14:paraId="7D213323" w14:textId="77777777" w:rsidR="00DD5B5D" w:rsidRPr="00C512EA" w:rsidRDefault="00DD5B5D" w:rsidP="00DD5B5D">
      <w:pPr>
        <w:ind w:left="360"/>
        <w:rPr>
          <w:color w:val="000000" w:themeColor="text1"/>
        </w:rPr>
      </w:pPr>
    </w:p>
    <w:p w14:paraId="0A681D77" w14:textId="77777777" w:rsidR="001836A7" w:rsidRPr="00D231F5" w:rsidRDefault="001836A7" w:rsidP="001836A7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73F1B4C" w14:textId="77777777" w:rsidR="001836A7" w:rsidRPr="00D231F5" w:rsidRDefault="001836A7" w:rsidP="001836A7">
      <w:pPr>
        <w:rPr>
          <w:rFonts w:cstheme="minorHAnsi"/>
          <w:b/>
          <w:bCs/>
          <w:i/>
          <w:iCs/>
          <w:sz w:val="20"/>
          <w:szCs w:val="20"/>
        </w:rPr>
      </w:pPr>
    </w:p>
    <w:p w14:paraId="2B070DE0" w14:textId="77777777" w:rsidR="001836A7" w:rsidRPr="009C703C" w:rsidRDefault="001836A7" w:rsidP="001836A7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48AC06FE" w14:textId="77777777" w:rsidR="001836A7" w:rsidRPr="00D231F5" w:rsidRDefault="001836A7" w:rsidP="001836A7">
      <w:pPr>
        <w:jc w:val="center"/>
        <w:rPr>
          <w:sz w:val="20"/>
          <w:szCs w:val="20"/>
        </w:rPr>
      </w:pPr>
    </w:p>
    <w:p w14:paraId="0A951618" w14:textId="77777777" w:rsidR="001836A7" w:rsidRPr="00D231F5" w:rsidRDefault="001836A7" w:rsidP="001836A7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The Learning and Learning: APPLICATION of DATA LITERACY</w:t>
      </w:r>
    </w:p>
    <w:p w14:paraId="147D45B4" w14:textId="77777777" w:rsidR="001836A7" w:rsidRPr="00D231F5" w:rsidRDefault="001836A7" w:rsidP="001836A7">
      <w:pPr>
        <w:ind w:left="360"/>
        <w:rPr>
          <w:color w:val="000000" w:themeColor="text1"/>
          <w:sz w:val="20"/>
          <w:szCs w:val="20"/>
        </w:rPr>
      </w:pPr>
    </w:p>
    <w:p w14:paraId="24E7B999" w14:textId="77777777" w:rsidR="001836A7" w:rsidRPr="00D231F5" w:rsidRDefault="001836A7" w:rsidP="001836A7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Learning Environments: EMPLOYMENT of DATA ANALYSIS and EVIDENCE to develop supportive school environments.</w:t>
      </w:r>
    </w:p>
    <w:p w14:paraId="68C7E6B1" w14:textId="77777777" w:rsidR="001836A7" w:rsidRPr="00D231F5" w:rsidRDefault="001836A7" w:rsidP="001836A7">
      <w:pPr>
        <w:ind w:left="360"/>
        <w:rPr>
          <w:color w:val="000000" w:themeColor="text1"/>
          <w:sz w:val="20"/>
          <w:szCs w:val="20"/>
        </w:rPr>
      </w:pPr>
    </w:p>
    <w:p w14:paraId="57E9F269" w14:textId="77777777" w:rsidR="001836A7" w:rsidRPr="00D231F5" w:rsidRDefault="001836A7" w:rsidP="001836A7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14:paraId="45058561" w14:textId="77777777" w:rsidR="001836A7" w:rsidRPr="00D231F5" w:rsidRDefault="001836A7" w:rsidP="001836A7">
      <w:pPr>
        <w:ind w:left="360"/>
        <w:rPr>
          <w:color w:val="000000" w:themeColor="text1"/>
          <w:sz w:val="20"/>
          <w:szCs w:val="20"/>
        </w:rPr>
      </w:pPr>
    </w:p>
    <w:p w14:paraId="7FDAAEE7" w14:textId="77777777" w:rsidR="001836A7" w:rsidRPr="00D231F5" w:rsidRDefault="001836A7" w:rsidP="001836A7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Instructional Practice: USE of RESEARCH and UNDERSTANDING of qualitative, quantitative, and/or mixed methods RESEARCH METHODOLOGIES</w:t>
      </w:r>
      <w:r>
        <w:rPr>
          <w:color w:val="000000" w:themeColor="text1"/>
          <w:sz w:val="20"/>
          <w:szCs w:val="20"/>
        </w:rPr>
        <w:t>.</w:t>
      </w:r>
    </w:p>
    <w:p w14:paraId="0374DDDD" w14:textId="77777777" w:rsidR="001836A7" w:rsidRPr="00D231F5" w:rsidRDefault="001836A7" w:rsidP="001836A7">
      <w:pPr>
        <w:ind w:left="360"/>
        <w:rPr>
          <w:color w:val="000000" w:themeColor="text1"/>
          <w:sz w:val="20"/>
          <w:szCs w:val="20"/>
        </w:rPr>
      </w:pPr>
    </w:p>
    <w:p w14:paraId="205018FD" w14:textId="77777777" w:rsidR="007408AD" w:rsidRPr="00DC0D60" w:rsidRDefault="007408AD" w:rsidP="007408AD">
      <w:pPr>
        <w:jc w:val="center"/>
        <w:rPr>
          <w:b/>
          <w:bCs/>
          <w:color w:val="C00000"/>
          <w:sz w:val="20"/>
          <w:szCs w:val="20"/>
        </w:rPr>
      </w:pPr>
      <w:r>
        <w:rPr>
          <w:color w:val="000000" w:themeColor="text1"/>
        </w:rPr>
        <w:br w:type="column"/>
      </w:r>
      <w:r w:rsidRPr="00DC0D60">
        <w:rPr>
          <w:b/>
          <w:bCs/>
          <w:color w:val="C00000"/>
          <w:sz w:val="20"/>
          <w:szCs w:val="20"/>
        </w:rPr>
        <w:lastRenderedPageBreak/>
        <w:t>ISTE Standards and Components</w:t>
      </w:r>
    </w:p>
    <w:p w14:paraId="3BDB5B75" w14:textId="77777777" w:rsidR="007408AD" w:rsidRPr="00DC0D60" w:rsidRDefault="007408AD" w:rsidP="007408AD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69505E29" w14:textId="77777777" w:rsidR="007408AD" w:rsidRDefault="007408AD" w:rsidP="007408AD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4B392FBF" w14:textId="77777777" w:rsidR="007408AD" w:rsidRPr="003A1DB1" w:rsidRDefault="007408AD" w:rsidP="007408AD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6E5DE538" w14:textId="6BE99EF5" w:rsidR="00DD5B5D" w:rsidRDefault="00DD5B5D" w:rsidP="001836A7">
      <w:pPr>
        <w:rPr>
          <w:color w:val="000000" w:themeColor="text1"/>
        </w:rPr>
      </w:pPr>
    </w:p>
    <w:p w14:paraId="31820C41" w14:textId="77777777" w:rsidR="007408AD" w:rsidRPr="003A1DB1" w:rsidRDefault="007408AD" w:rsidP="007408A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A1DB1">
        <w:rPr>
          <w:sz w:val="20"/>
          <w:szCs w:val="20"/>
        </w:rPr>
        <w:t>Equity and Citizenship Advocate: Leaders use technology to increase equity, inclusion, and digital citizenship practices.</w:t>
      </w:r>
    </w:p>
    <w:p w14:paraId="651CDF38" w14:textId="77777777" w:rsidR="007408AD" w:rsidRPr="003A1DB1" w:rsidRDefault="007408AD" w:rsidP="007408AD">
      <w:pPr>
        <w:ind w:left="360"/>
        <w:rPr>
          <w:sz w:val="20"/>
          <w:szCs w:val="20"/>
        </w:rPr>
      </w:pPr>
    </w:p>
    <w:p w14:paraId="0C10061F" w14:textId="77777777" w:rsidR="007408AD" w:rsidRPr="003A1DB1" w:rsidRDefault="007408AD" w:rsidP="007408AD">
      <w:pPr>
        <w:pStyle w:val="ListParagraph"/>
        <w:numPr>
          <w:ilvl w:val="0"/>
          <w:numId w:val="4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Model digital citizenship by critically evaluating online resources, engaging in civil discourse online and using digital tools to contribute to positive social change.</w:t>
      </w:r>
    </w:p>
    <w:p w14:paraId="0B489711" w14:textId="77777777" w:rsidR="007408AD" w:rsidRDefault="007408AD" w:rsidP="001836A7">
      <w:pPr>
        <w:rPr>
          <w:color w:val="000000" w:themeColor="text1"/>
        </w:rPr>
      </w:pPr>
    </w:p>
    <w:p w14:paraId="46FDBFC5" w14:textId="77777777" w:rsidR="007408AD" w:rsidRPr="003A1DB1" w:rsidRDefault="007408AD" w:rsidP="007408A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A1DB1">
        <w:rPr>
          <w:sz w:val="20"/>
          <w:szCs w:val="20"/>
        </w:rPr>
        <w:t xml:space="preserve">Visionary Planner: Leaders engage in establishing a vision, strategic </w:t>
      </w:r>
      <w:proofErr w:type="gramStart"/>
      <w:r w:rsidRPr="003A1DB1">
        <w:rPr>
          <w:sz w:val="20"/>
          <w:szCs w:val="20"/>
        </w:rPr>
        <w:t>plan</w:t>
      </w:r>
      <w:proofErr w:type="gramEnd"/>
      <w:r w:rsidRPr="003A1DB1">
        <w:rPr>
          <w:sz w:val="20"/>
          <w:szCs w:val="20"/>
        </w:rPr>
        <w:t xml:space="preserve"> and ongoing evaluation cycle for transforming learning with technology.</w:t>
      </w:r>
    </w:p>
    <w:p w14:paraId="41404B09" w14:textId="2EDFC4DA" w:rsidR="007408AD" w:rsidRPr="007408AD" w:rsidRDefault="007408AD" w:rsidP="007408AD">
      <w:pPr>
        <w:rPr>
          <w:sz w:val="20"/>
          <w:szCs w:val="20"/>
        </w:rPr>
      </w:pPr>
    </w:p>
    <w:p w14:paraId="5A8B7E19" w14:textId="77777777" w:rsidR="007408AD" w:rsidRPr="003A1DB1" w:rsidRDefault="007408AD" w:rsidP="007408AD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 xml:space="preserve">Share lessons learned, best practices, </w:t>
      </w:r>
      <w:proofErr w:type="gramStart"/>
      <w:r w:rsidRPr="003A1DB1">
        <w:rPr>
          <w:sz w:val="20"/>
          <w:szCs w:val="20"/>
        </w:rPr>
        <w:t>challenges</w:t>
      </w:r>
      <w:proofErr w:type="gramEnd"/>
      <w:r w:rsidRPr="003A1DB1">
        <w:rPr>
          <w:sz w:val="20"/>
          <w:szCs w:val="20"/>
        </w:rPr>
        <w:t xml:space="preserve"> and the impact of learning with technology with other education leaders who want to learn from this work.</w:t>
      </w:r>
    </w:p>
    <w:p w14:paraId="5F932E1F" w14:textId="77777777" w:rsidR="007408AD" w:rsidRDefault="007408AD" w:rsidP="001836A7">
      <w:pPr>
        <w:rPr>
          <w:color w:val="000000" w:themeColor="text1"/>
        </w:rPr>
      </w:pPr>
    </w:p>
    <w:p w14:paraId="7FC0F662" w14:textId="77777777" w:rsidR="007408AD" w:rsidRPr="003A1DB1" w:rsidRDefault="007408AD" w:rsidP="007408A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A1DB1">
        <w:rPr>
          <w:sz w:val="20"/>
          <w:szCs w:val="20"/>
        </w:rPr>
        <w:t>Empowering Leader: Leaders create a culture where teachers and learners are empowered to use technology in innovative ways to enrich teaching and learning.</w:t>
      </w:r>
    </w:p>
    <w:p w14:paraId="28B90C02" w14:textId="77777777" w:rsidR="007408AD" w:rsidRPr="003A1DB1" w:rsidRDefault="007408AD" w:rsidP="007408AD">
      <w:pPr>
        <w:ind w:left="360"/>
        <w:rPr>
          <w:sz w:val="20"/>
          <w:szCs w:val="20"/>
        </w:rPr>
      </w:pPr>
    </w:p>
    <w:p w14:paraId="5C7C55A5" w14:textId="77777777" w:rsidR="007408AD" w:rsidRPr="003A1DB1" w:rsidRDefault="007408AD" w:rsidP="007408AD">
      <w:pPr>
        <w:pStyle w:val="ListParagraph"/>
        <w:numPr>
          <w:ilvl w:val="0"/>
          <w:numId w:val="6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Inspire a culture of innovation and collaboration that allows the time and space to explore and experiment with digital tools.</w:t>
      </w:r>
    </w:p>
    <w:p w14:paraId="28EE953A" w14:textId="77777777" w:rsidR="007408AD" w:rsidRPr="003A1DB1" w:rsidRDefault="007408AD" w:rsidP="007408AD">
      <w:pPr>
        <w:pStyle w:val="ListParagraph"/>
        <w:numPr>
          <w:ilvl w:val="0"/>
          <w:numId w:val="6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Support educators in using technology to advance learning that meets the diverse learning, cultural, and social-emotional needs of individual students.</w:t>
      </w:r>
    </w:p>
    <w:p w14:paraId="63DF9654" w14:textId="77777777" w:rsidR="007408AD" w:rsidRPr="003A1DB1" w:rsidRDefault="007408AD" w:rsidP="007408AD">
      <w:pPr>
        <w:pStyle w:val="ListParagraph"/>
        <w:numPr>
          <w:ilvl w:val="0"/>
          <w:numId w:val="6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Develop learning assessments that provide a personalized, actionable view of student progress in real time.</w:t>
      </w:r>
    </w:p>
    <w:p w14:paraId="04FD2D56" w14:textId="77777777" w:rsidR="007408AD" w:rsidRPr="00C512EA" w:rsidRDefault="007408AD" w:rsidP="007408AD">
      <w:pPr>
        <w:ind w:left="720"/>
        <w:rPr>
          <w:color w:val="000000" w:themeColor="text1"/>
        </w:rPr>
      </w:pPr>
    </w:p>
    <w:sectPr w:rsidR="007408A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54B"/>
    <w:multiLevelType w:val="hybridMultilevel"/>
    <w:tmpl w:val="5C56D7FE"/>
    <w:lvl w:ilvl="0" w:tplc="B0961D3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291E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136C4"/>
    <w:multiLevelType w:val="hybridMultilevel"/>
    <w:tmpl w:val="287A2AF2"/>
    <w:lvl w:ilvl="0" w:tplc="4D44A55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176AC"/>
    <w:multiLevelType w:val="hybridMultilevel"/>
    <w:tmpl w:val="DEFE391C"/>
    <w:lvl w:ilvl="0" w:tplc="BFE0924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6C05"/>
    <w:multiLevelType w:val="hybridMultilevel"/>
    <w:tmpl w:val="FCA28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5"/>
  </w:num>
  <w:num w:numId="2" w16cid:durableId="1146164327">
    <w:abstractNumId w:val="1"/>
  </w:num>
  <w:num w:numId="3" w16cid:durableId="1692951977">
    <w:abstractNumId w:val="4"/>
  </w:num>
  <w:num w:numId="4" w16cid:durableId="1178665189">
    <w:abstractNumId w:val="2"/>
  </w:num>
  <w:num w:numId="5" w16cid:durableId="561327245">
    <w:abstractNumId w:val="3"/>
  </w:num>
  <w:num w:numId="6" w16cid:durableId="136435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36A7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54010F"/>
    <w:rsid w:val="006B0770"/>
    <w:rsid w:val="007408AD"/>
    <w:rsid w:val="00777075"/>
    <w:rsid w:val="007F3588"/>
    <w:rsid w:val="0082059A"/>
    <w:rsid w:val="0082732E"/>
    <w:rsid w:val="00841038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5</cp:revision>
  <dcterms:created xsi:type="dcterms:W3CDTF">2023-07-11T14:51:00Z</dcterms:created>
  <dcterms:modified xsi:type="dcterms:W3CDTF">2023-07-12T19:29:00Z</dcterms:modified>
</cp:coreProperties>
</file>