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8A2E" w14:textId="1D5607F6" w:rsidR="00324D3A" w:rsidRPr="00324D3A" w:rsidRDefault="00324D3A" w:rsidP="00324D3A">
      <w:pPr>
        <w:jc w:val="center"/>
        <w:rPr>
          <w:rFonts w:cstheme="minorHAnsi"/>
          <w:b/>
          <w:bCs/>
          <w:color w:val="000000" w:themeColor="text1"/>
        </w:rPr>
      </w:pPr>
      <w:r w:rsidRPr="00324D3A">
        <w:rPr>
          <w:rFonts w:cstheme="minorHAnsi"/>
          <w:b/>
          <w:bCs/>
          <w:color w:val="000000" w:themeColor="text1"/>
        </w:rPr>
        <w:t>Procedure for Graduate Faculty Status</w:t>
      </w:r>
    </w:p>
    <w:p w14:paraId="4E0FF6C7" w14:textId="77777777" w:rsidR="00324D3A" w:rsidRPr="00324D3A" w:rsidRDefault="00324D3A" w:rsidP="00C918EA">
      <w:pPr>
        <w:rPr>
          <w:rFonts w:cstheme="minorHAnsi"/>
          <w:b/>
          <w:bCs/>
          <w:color w:val="000000" w:themeColor="text1"/>
        </w:rPr>
      </w:pPr>
    </w:p>
    <w:p w14:paraId="7925B839" w14:textId="47F2F0E2" w:rsidR="00C918EA" w:rsidRPr="00324D3A" w:rsidRDefault="00F768A0" w:rsidP="00C918EA">
      <w:pPr>
        <w:rPr>
          <w:rFonts w:cstheme="minorHAnsi"/>
          <w:color w:val="000000" w:themeColor="text1"/>
        </w:rPr>
      </w:pPr>
      <w:r w:rsidRPr="00324D3A">
        <w:rPr>
          <w:rFonts w:cstheme="minorHAnsi"/>
          <w:b/>
          <w:bCs/>
          <w:color w:val="000000" w:themeColor="text1"/>
        </w:rPr>
        <w:t>Procedure</w:t>
      </w:r>
      <w:r w:rsidR="00C918EA" w:rsidRPr="00324D3A">
        <w:rPr>
          <w:rFonts w:cstheme="minorHAnsi"/>
          <w:b/>
          <w:bCs/>
          <w:color w:val="000000" w:themeColor="text1"/>
        </w:rPr>
        <w:t xml:space="preserve"> Title:</w:t>
      </w:r>
      <w:r w:rsidR="00AE4887" w:rsidRPr="00324D3A">
        <w:rPr>
          <w:rFonts w:cstheme="minorHAnsi"/>
          <w:b/>
          <w:bCs/>
          <w:color w:val="000000" w:themeColor="text1"/>
        </w:rPr>
        <w:t xml:space="preserve"> </w:t>
      </w:r>
      <w:r w:rsidR="00AE4887" w:rsidRPr="00324D3A">
        <w:rPr>
          <w:rFonts w:cstheme="minorHAnsi"/>
          <w:color w:val="000000" w:themeColor="text1"/>
        </w:rPr>
        <w:t>Graduate Faculty Status</w:t>
      </w:r>
    </w:p>
    <w:p w14:paraId="13E9C189" w14:textId="09B25D0B" w:rsidR="00C918EA" w:rsidRPr="00324D3A" w:rsidRDefault="00C918EA" w:rsidP="00C918EA">
      <w:pPr>
        <w:rPr>
          <w:rFonts w:cstheme="minorHAnsi"/>
          <w:b/>
          <w:bCs/>
          <w:color w:val="000000" w:themeColor="text1"/>
        </w:rPr>
      </w:pPr>
    </w:p>
    <w:p w14:paraId="1AA83249" w14:textId="7B72B151" w:rsidR="00C918EA" w:rsidRPr="00324D3A" w:rsidRDefault="00C918EA" w:rsidP="00C918EA">
      <w:pPr>
        <w:rPr>
          <w:rFonts w:cstheme="minorHAnsi"/>
          <w:b/>
          <w:bCs/>
          <w:color w:val="000000" w:themeColor="text1"/>
        </w:rPr>
      </w:pPr>
      <w:r w:rsidRPr="00324D3A">
        <w:rPr>
          <w:rFonts w:cstheme="minorHAnsi"/>
          <w:b/>
          <w:bCs/>
          <w:color w:val="000000" w:themeColor="text1"/>
        </w:rPr>
        <w:t>Department Responsible:</w:t>
      </w:r>
      <w:r w:rsidR="003C524E" w:rsidRPr="00324D3A">
        <w:rPr>
          <w:rFonts w:cstheme="minorHAnsi"/>
          <w:b/>
          <w:bCs/>
          <w:color w:val="000000" w:themeColor="text1"/>
        </w:rPr>
        <w:t xml:space="preserve"> </w:t>
      </w:r>
      <w:r w:rsidR="003C524E" w:rsidRPr="00324D3A">
        <w:rPr>
          <w:rFonts w:cstheme="minorHAnsi"/>
          <w:color w:val="000000" w:themeColor="text1"/>
        </w:rPr>
        <w:t>College of Education</w:t>
      </w:r>
    </w:p>
    <w:p w14:paraId="2CF23ACE" w14:textId="63C6CC65" w:rsidR="00C918EA" w:rsidRPr="00324D3A" w:rsidRDefault="00C918EA" w:rsidP="00C918EA">
      <w:pPr>
        <w:rPr>
          <w:rFonts w:cstheme="minorHAnsi"/>
          <w:color w:val="000000" w:themeColor="text1"/>
        </w:rPr>
      </w:pPr>
    </w:p>
    <w:p w14:paraId="5C9C3D8B" w14:textId="2059A300" w:rsidR="00C918EA" w:rsidRPr="00324D3A" w:rsidRDefault="00C918EA" w:rsidP="00C918EA">
      <w:pPr>
        <w:rPr>
          <w:rFonts w:cstheme="minorHAnsi"/>
          <w:color w:val="000000" w:themeColor="text1"/>
        </w:rPr>
      </w:pPr>
      <w:r w:rsidRPr="00324D3A">
        <w:rPr>
          <w:rFonts w:cstheme="minorHAnsi"/>
          <w:b/>
          <w:bCs/>
          <w:color w:val="000000" w:themeColor="text1"/>
        </w:rPr>
        <w:t>Contact Person and Title</w:t>
      </w:r>
      <w:r w:rsidR="003C524E" w:rsidRPr="00324D3A">
        <w:rPr>
          <w:rFonts w:cstheme="minorHAnsi"/>
          <w:b/>
          <w:bCs/>
          <w:color w:val="000000" w:themeColor="text1"/>
        </w:rPr>
        <w:t xml:space="preserve">: </w:t>
      </w:r>
      <w:r w:rsidR="006624C8" w:rsidRPr="00324D3A">
        <w:rPr>
          <w:rFonts w:cstheme="minorHAnsi"/>
          <w:color w:val="000000" w:themeColor="text1"/>
        </w:rPr>
        <w:t>Department Head</w:t>
      </w:r>
    </w:p>
    <w:p w14:paraId="34258B46" w14:textId="1F5CDD04" w:rsidR="00C918EA" w:rsidRPr="00324D3A" w:rsidRDefault="00C918EA" w:rsidP="00C918EA">
      <w:pPr>
        <w:rPr>
          <w:rFonts w:cstheme="minorHAnsi"/>
          <w:b/>
          <w:bCs/>
          <w:color w:val="000000" w:themeColor="text1"/>
        </w:rPr>
      </w:pPr>
    </w:p>
    <w:p w14:paraId="1D80DE2A" w14:textId="77777777" w:rsidR="00AE4887" w:rsidRPr="00324D3A" w:rsidRDefault="00661FCD" w:rsidP="00AE4887">
      <w:pPr>
        <w:pStyle w:val="BodyText"/>
        <w:spacing w:line="249" w:lineRule="auto"/>
        <w:ind w:right="119"/>
        <w:rPr>
          <w:rFonts w:asciiTheme="minorHAnsi" w:hAnsiTheme="minorHAnsi" w:cstheme="minorHAnsi"/>
          <w:b/>
          <w:bCs/>
          <w:color w:val="000000" w:themeColor="text1"/>
          <w:sz w:val="24"/>
          <w:szCs w:val="24"/>
        </w:rPr>
      </w:pPr>
      <w:r w:rsidRPr="00324D3A">
        <w:rPr>
          <w:rFonts w:asciiTheme="minorHAnsi" w:hAnsiTheme="minorHAnsi" w:cstheme="minorHAnsi"/>
          <w:b/>
          <w:bCs/>
          <w:color w:val="000000" w:themeColor="text1"/>
          <w:sz w:val="24"/>
          <w:szCs w:val="24"/>
        </w:rPr>
        <w:t>Procedure:</w:t>
      </w:r>
      <w:r w:rsidR="00C918EA" w:rsidRPr="00324D3A">
        <w:rPr>
          <w:rFonts w:asciiTheme="minorHAnsi" w:hAnsiTheme="minorHAnsi" w:cstheme="minorHAnsi"/>
          <w:b/>
          <w:bCs/>
          <w:color w:val="000000" w:themeColor="text1"/>
          <w:sz w:val="24"/>
          <w:szCs w:val="24"/>
        </w:rPr>
        <w:t xml:space="preserve"> </w:t>
      </w:r>
    </w:p>
    <w:p w14:paraId="1BFE5F84" w14:textId="41BA85F0" w:rsidR="00AE4887" w:rsidRPr="00324D3A" w:rsidRDefault="00AE4887" w:rsidP="00AE4887">
      <w:pPr>
        <w:pStyle w:val="BodyText"/>
        <w:spacing w:line="249" w:lineRule="auto"/>
        <w:ind w:right="119"/>
        <w:rPr>
          <w:rFonts w:asciiTheme="minorHAnsi" w:eastAsia="Arial" w:hAnsiTheme="minorHAnsi" w:cstheme="minorHAnsi"/>
          <w:b/>
          <w:bCs/>
          <w:color w:val="000000" w:themeColor="text1"/>
          <w:sz w:val="24"/>
          <w:szCs w:val="24"/>
        </w:rPr>
      </w:pPr>
      <w:r w:rsidRPr="00324D3A">
        <w:rPr>
          <w:rFonts w:asciiTheme="minorHAnsi" w:eastAsia="Arial" w:hAnsiTheme="minorHAnsi" w:cstheme="minorHAnsi"/>
          <w:b/>
          <w:bCs/>
          <w:color w:val="000000" w:themeColor="text1"/>
          <w:sz w:val="24"/>
          <w:szCs w:val="24"/>
        </w:rPr>
        <w:t>Introduction</w:t>
      </w:r>
    </w:p>
    <w:p w14:paraId="4A227F68" w14:textId="77777777"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color w:val="000000" w:themeColor="text1"/>
        </w:rPr>
        <w:t>The purpose of the graduate faculty of The University of Alabama is to set standards for graduate work and to provide graduate instruction.  There are three categories of members: Full, Associate, and Affiliate. It is the responsibility of the graduate faculty in each division to elect its representative(s) to the </w:t>
      </w:r>
      <w:hyperlink r:id="rId5" w:tgtFrame="_blank" w:history="1">
        <w:r w:rsidRPr="00324D3A">
          <w:rPr>
            <w:rFonts w:eastAsia="Times New Roman" w:cstheme="minorHAnsi"/>
            <w:color w:val="000000" w:themeColor="text1"/>
            <w:u w:val="single"/>
            <w:bdr w:val="none" w:sz="0" w:space="0" w:color="auto" w:frame="1"/>
          </w:rPr>
          <w:t>Graduate Counci</w:t>
        </w:r>
      </w:hyperlink>
      <w:r w:rsidRPr="00324D3A">
        <w:rPr>
          <w:rFonts w:eastAsia="Times New Roman" w:cstheme="minorHAnsi"/>
          <w:color w:val="000000" w:themeColor="text1"/>
        </w:rPr>
        <w:t>l, which acts for the faculty in matters relating to graduate work.</w:t>
      </w:r>
    </w:p>
    <w:p w14:paraId="1473C752" w14:textId="77777777" w:rsidR="00190F0E" w:rsidRPr="00324D3A" w:rsidRDefault="00190F0E" w:rsidP="00190F0E">
      <w:pPr>
        <w:textAlignment w:val="baseline"/>
        <w:rPr>
          <w:rFonts w:eastAsia="Times New Roman" w:cstheme="minorHAnsi"/>
          <w:color w:val="000000" w:themeColor="text1"/>
        </w:rPr>
      </w:pPr>
    </w:p>
    <w:p w14:paraId="287EA2A8" w14:textId="5BC44ABB"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color w:val="000000" w:themeColor="text1"/>
        </w:rPr>
        <w:t xml:space="preserve">Only members of the graduate faculty may teach courses numbered 500 or above. Only Full and Associate members of the graduate faculty may chair thesis and examining committees. Dissertation committees must be chaired by Full members of the graduate faculty.  Committees for final projects of professional-practice doctorates may be chaired by Full or Associate members, or by Affiliate members of the Graduate Faculty who meet </w:t>
      </w:r>
      <w:proofErr w:type="gramStart"/>
      <w:r w:rsidRPr="00324D3A">
        <w:rPr>
          <w:rFonts w:eastAsia="Times New Roman" w:cstheme="minorHAnsi"/>
          <w:color w:val="000000" w:themeColor="text1"/>
        </w:rPr>
        <w:t>all of</w:t>
      </w:r>
      <w:proofErr w:type="gramEnd"/>
      <w:r w:rsidRPr="00324D3A">
        <w:rPr>
          <w:rFonts w:eastAsia="Times New Roman" w:cstheme="minorHAnsi"/>
          <w:color w:val="000000" w:themeColor="text1"/>
        </w:rPr>
        <w:t xml:space="preserve"> the following qualifications:</w:t>
      </w:r>
    </w:p>
    <w:p w14:paraId="1D32D3C3" w14:textId="1DECCFB2" w:rsidR="00190F0E" w:rsidRPr="00324D3A" w:rsidRDefault="00190F0E" w:rsidP="00190F0E">
      <w:pPr>
        <w:ind w:left="720" w:hanging="360"/>
        <w:textAlignment w:val="baseline"/>
        <w:rPr>
          <w:rFonts w:eastAsia="Times New Roman" w:cstheme="minorHAnsi"/>
          <w:color w:val="000000" w:themeColor="text1"/>
        </w:rPr>
      </w:pPr>
      <w:r w:rsidRPr="00324D3A">
        <w:rPr>
          <w:rFonts w:eastAsia="Times New Roman" w:cstheme="minorHAnsi"/>
          <w:color w:val="000000" w:themeColor="text1"/>
        </w:rPr>
        <w:t xml:space="preserve">a. </w:t>
      </w:r>
      <w:r w:rsidRPr="00324D3A">
        <w:rPr>
          <w:rFonts w:eastAsia="Times New Roman" w:cstheme="minorHAnsi"/>
          <w:color w:val="000000" w:themeColor="text1"/>
        </w:rPr>
        <w:tab/>
      </w:r>
      <w:proofErr w:type="gramStart"/>
      <w:r w:rsidRPr="00324D3A">
        <w:rPr>
          <w:rFonts w:eastAsia="Times New Roman" w:cstheme="minorHAnsi"/>
          <w:color w:val="000000" w:themeColor="text1"/>
        </w:rPr>
        <w:t>hold</w:t>
      </w:r>
      <w:proofErr w:type="gramEnd"/>
      <w:r w:rsidRPr="00324D3A">
        <w:rPr>
          <w:rFonts w:eastAsia="Times New Roman" w:cstheme="minorHAnsi"/>
          <w:color w:val="000000" w:themeColor="text1"/>
        </w:rPr>
        <w:t xml:space="preserve"> an appropriate doctoral degree; and</w:t>
      </w:r>
    </w:p>
    <w:p w14:paraId="41F29351" w14:textId="20E8947E" w:rsidR="00190F0E" w:rsidRPr="00324D3A" w:rsidRDefault="00190F0E" w:rsidP="00190F0E">
      <w:pPr>
        <w:ind w:left="720" w:hanging="360"/>
        <w:textAlignment w:val="baseline"/>
        <w:rPr>
          <w:rFonts w:eastAsia="Times New Roman" w:cstheme="minorHAnsi"/>
          <w:color w:val="000000" w:themeColor="text1"/>
        </w:rPr>
      </w:pPr>
      <w:r w:rsidRPr="00324D3A">
        <w:rPr>
          <w:rFonts w:eastAsia="Times New Roman" w:cstheme="minorHAnsi"/>
          <w:color w:val="000000" w:themeColor="text1"/>
        </w:rPr>
        <w:t xml:space="preserve">b. </w:t>
      </w:r>
      <w:r w:rsidRPr="00324D3A">
        <w:rPr>
          <w:rFonts w:eastAsia="Times New Roman" w:cstheme="minorHAnsi"/>
          <w:color w:val="000000" w:themeColor="text1"/>
        </w:rPr>
        <w:tab/>
      </w:r>
      <w:proofErr w:type="gramStart"/>
      <w:r w:rsidRPr="00324D3A">
        <w:rPr>
          <w:rFonts w:eastAsia="Times New Roman" w:cstheme="minorHAnsi"/>
          <w:color w:val="000000" w:themeColor="text1"/>
        </w:rPr>
        <w:t>have</w:t>
      </w:r>
      <w:proofErr w:type="gramEnd"/>
      <w:r w:rsidRPr="00324D3A">
        <w:rPr>
          <w:rFonts w:eastAsia="Times New Roman" w:cstheme="minorHAnsi"/>
          <w:color w:val="000000" w:themeColor="text1"/>
        </w:rPr>
        <w:t xml:space="preserve"> the appropriate professional qualifications; and</w:t>
      </w:r>
    </w:p>
    <w:p w14:paraId="120A5C1A" w14:textId="15955B6D" w:rsidR="00190F0E" w:rsidRPr="00324D3A" w:rsidRDefault="00190F0E" w:rsidP="00190F0E">
      <w:pPr>
        <w:ind w:left="720" w:hanging="360"/>
        <w:textAlignment w:val="baseline"/>
        <w:rPr>
          <w:rFonts w:eastAsia="Times New Roman" w:cstheme="minorHAnsi"/>
          <w:color w:val="000000" w:themeColor="text1"/>
        </w:rPr>
      </w:pPr>
      <w:r w:rsidRPr="00324D3A">
        <w:rPr>
          <w:rFonts w:eastAsia="Times New Roman" w:cstheme="minorHAnsi"/>
          <w:color w:val="000000" w:themeColor="text1"/>
        </w:rPr>
        <w:t xml:space="preserve">c. </w:t>
      </w:r>
      <w:r w:rsidRPr="00324D3A">
        <w:rPr>
          <w:rFonts w:eastAsia="Times New Roman" w:cstheme="minorHAnsi"/>
          <w:color w:val="000000" w:themeColor="text1"/>
        </w:rPr>
        <w:tab/>
      </w:r>
      <w:proofErr w:type="gramStart"/>
      <w:r w:rsidRPr="00324D3A">
        <w:rPr>
          <w:rFonts w:eastAsia="Times New Roman" w:cstheme="minorHAnsi"/>
          <w:color w:val="000000" w:themeColor="text1"/>
        </w:rPr>
        <w:t>hold</w:t>
      </w:r>
      <w:proofErr w:type="gramEnd"/>
      <w:r w:rsidRPr="00324D3A">
        <w:rPr>
          <w:rFonts w:eastAsia="Times New Roman" w:cstheme="minorHAnsi"/>
          <w:color w:val="000000" w:themeColor="text1"/>
        </w:rPr>
        <w:t xml:space="preserve"> the rank of at least assistant professor in a full-time position at The University of Alabama</w:t>
      </w:r>
    </w:p>
    <w:p w14:paraId="2BDB7B3F" w14:textId="77777777" w:rsidR="00190F0E" w:rsidRPr="00324D3A" w:rsidRDefault="00190F0E" w:rsidP="00190F0E">
      <w:pPr>
        <w:textAlignment w:val="baseline"/>
        <w:rPr>
          <w:rFonts w:eastAsia="Times New Roman" w:cstheme="minorHAnsi"/>
          <w:b/>
          <w:bCs/>
          <w:color w:val="000000" w:themeColor="text1"/>
          <w:bdr w:val="none" w:sz="0" w:space="0" w:color="auto" w:frame="1"/>
        </w:rPr>
      </w:pPr>
    </w:p>
    <w:p w14:paraId="327C0479" w14:textId="38B25108"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b/>
          <w:bCs/>
          <w:color w:val="000000" w:themeColor="text1"/>
          <w:bdr w:val="none" w:sz="0" w:space="0" w:color="auto" w:frame="1"/>
        </w:rPr>
        <w:t>Criteria for Full and Associate Members </w:t>
      </w:r>
    </w:p>
    <w:p w14:paraId="5AC4642E" w14:textId="77777777"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color w:val="000000" w:themeColor="text1"/>
        </w:rPr>
        <w:t>The dean of each academic division has the responsibility of nominating members to serve on the graduate faculty. These nominees must meet the following criteria:</w:t>
      </w:r>
    </w:p>
    <w:p w14:paraId="3B442AD4" w14:textId="77777777" w:rsidR="00190F0E" w:rsidRPr="00324D3A" w:rsidRDefault="00190F0E" w:rsidP="00190F0E">
      <w:pPr>
        <w:numPr>
          <w:ilvl w:val="0"/>
          <w:numId w:val="7"/>
        </w:numPr>
        <w:spacing w:before="120"/>
        <w:textAlignment w:val="baseline"/>
        <w:rPr>
          <w:rFonts w:eastAsia="Times New Roman" w:cstheme="minorHAnsi"/>
          <w:color w:val="000000" w:themeColor="text1"/>
        </w:rPr>
      </w:pPr>
      <w:r w:rsidRPr="00324D3A">
        <w:rPr>
          <w:rFonts w:eastAsia="Times New Roman" w:cstheme="minorHAnsi"/>
          <w:color w:val="000000" w:themeColor="text1"/>
        </w:rPr>
        <w:t xml:space="preserve">They must hold the PhD or other terminal </w:t>
      </w:r>
      <w:proofErr w:type="gramStart"/>
      <w:r w:rsidRPr="00324D3A">
        <w:rPr>
          <w:rFonts w:eastAsia="Times New Roman" w:cstheme="minorHAnsi"/>
          <w:color w:val="000000" w:themeColor="text1"/>
        </w:rPr>
        <w:t>degree, and</w:t>
      </w:r>
      <w:proofErr w:type="gramEnd"/>
      <w:r w:rsidRPr="00324D3A">
        <w:rPr>
          <w:rFonts w:eastAsia="Times New Roman" w:cstheme="minorHAnsi"/>
          <w:color w:val="000000" w:themeColor="text1"/>
        </w:rPr>
        <w:t xml:space="preserve"> must hold the rank of at least assistant professor in a full-time position.</w:t>
      </w:r>
    </w:p>
    <w:p w14:paraId="412BD2FE" w14:textId="77777777" w:rsidR="00190F0E" w:rsidRPr="00324D3A" w:rsidRDefault="00190F0E" w:rsidP="00190F0E">
      <w:pPr>
        <w:numPr>
          <w:ilvl w:val="0"/>
          <w:numId w:val="7"/>
        </w:numPr>
        <w:spacing w:before="120"/>
        <w:textAlignment w:val="baseline"/>
        <w:rPr>
          <w:rFonts w:eastAsia="Times New Roman" w:cstheme="minorHAnsi"/>
          <w:color w:val="000000" w:themeColor="text1"/>
        </w:rPr>
      </w:pPr>
      <w:r w:rsidRPr="00324D3A">
        <w:rPr>
          <w:rFonts w:eastAsia="Times New Roman" w:cstheme="minorHAnsi"/>
          <w:color w:val="000000" w:themeColor="text1"/>
        </w:rPr>
        <w:t>Full and Associate members must demonstrate ability and continuing interest in the graduate program and in research or creative activity. Full members must show a strong, continuing record of productive research, publication, creative activity, and scholarly activity appropriate to the discipline. These broad requirements are best interpreted by each department and college in accordance with their written guidelines (“Standards for Graduate Faculty Status”). These guidelines of each academic unit address expectations regarding currency in the field and standards of successful mentorship within the context of their discipline. College/department criteria should also delineate the different expectations for Full versus Associate membership.</w:t>
      </w:r>
    </w:p>
    <w:p w14:paraId="494A3B28" w14:textId="77777777" w:rsidR="00190F0E" w:rsidRPr="00324D3A" w:rsidRDefault="00190F0E" w:rsidP="00190F0E">
      <w:pPr>
        <w:numPr>
          <w:ilvl w:val="0"/>
          <w:numId w:val="7"/>
        </w:numPr>
        <w:spacing w:before="120"/>
        <w:textAlignment w:val="baseline"/>
        <w:rPr>
          <w:rFonts w:eastAsia="Times New Roman" w:cstheme="minorHAnsi"/>
          <w:color w:val="000000" w:themeColor="text1"/>
        </w:rPr>
      </w:pPr>
      <w:r w:rsidRPr="00324D3A">
        <w:rPr>
          <w:rFonts w:eastAsia="Times New Roman" w:cstheme="minorHAnsi"/>
          <w:color w:val="000000" w:themeColor="text1"/>
        </w:rPr>
        <w:lastRenderedPageBreak/>
        <w:t xml:space="preserve">They must be recommended by the Full and Associate members of the departmental graduate faculty, department chairperson, and dean of the academic division, in accordance with the </w:t>
      </w:r>
      <w:proofErr w:type="gramStart"/>
      <w:r w:rsidRPr="00324D3A">
        <w:rPr>
          <w:rFonts w:eastAsia="Times New Roman" w:cstheme="minorHAnsi"/>
          <w:color w:val="000000" w:themeColor="text1"/>
        </w:rPr>
        <w:t>department’s</w:t>
      </w:r>
      <w:proofErr w:type="gramEnd"/>
      <w:r w:rsidRPr="00324D3A">
        <w:rPr>
          <w:rFonts w:eastAsia="Times New Roman" w:cstheme="minorHAnsi"/>
          <w:color w:val="000000" w:themeColor="text1"/>
        </w:rPr>
        <w:t xml:space="preserve"> or college’s Standards for Graduate Faculty Status. These nominations will then be acted upon by the dean of the Graduate School.</w:t>
      </w:r>
    </w:p>
    <w:p w14:paraId="38460777" w14:textId="77777777" w:rsidR="00190F0E" w:rsidRPr="00324D3A" w:rsidRDefault="00190F0E" w:rsidP="00190F0E">
      <w:pPr>
        <w:textAlignment w:val="baseline"/>
        <w:rPr>
          <w:rFonts w:eastAsia="Times New Roman" w:cstheme="minorHAnsi"/>
          <w:b/>
          <w:bCs/>
          <w:color w:val="000000" w:themeColor="text1"/>
          <w:bdr w:val="none" w:sz="0" w:space="0" w:color="auto" w:frame="1"/>
        </w:rPr>
      </w:pPr>
    </w:p>
    <w:p w14:paraId="3FCC420D" w14:textId="33289E1A"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b/>
          <w:bCs/>
          <w:color w:val="000000" w:themeColor="text1"/>
          <w:bdr w:val="none" w:sz="0" w:space="0" w:color="auto" w:frame="1"/>
        </w:rPr>
        <w:t>Criteria for Affiliate Members </w:t>
      </w:r>
    </w:p>
    <w:p w14:paraId="1A0EC25E" w14:textId="77777777"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color w:val="000000" w:themeColor="text1"/>
        </w:rPr>
        <w:t>Affiliate membership may be extended to well-qualified individuals, who do not satisfy the above criteria, to perform specific functions for specific time periods, not to exceed three calendar years. Minimum standards for Affiliate membership and the role Affiliate members may fill in a department’s graduate program shall be outlined in the department’s Standards for Graduate Faculty Status. Nominees must be recommended by the departmental graduate faculty, department chairperson, and dean of the academic division. Nominations should address how the individual’s qualifications meet the expectations of their role as Affiliate graduate faculty. These nominations will then be acted upon by the dean of the Graduate School.</w:t>
      </w:r>
    </w:p>
    <w:p w14:paraId="1B6D17B5" w14:textId="77777777" w:rsidR="00190F0E" w:rsidRPr="00324D3A" w:rsidRDefault="00190F0E" w:rsidP="00190F0E">
      <w:pPr>
        <w:textAlignment w:val="baseline"/>
        <w:rPr>
          <w:rFonts w:eastAsia="Times New Roman" w:cstheme="minorHAnsi"/>
          <w:b/>
          <w:bCs/>
          <w:color w:val="000000" w:themeColor="text1"/>
          <w:bdr w:val="none" w:sz="0" w:space="0" w:color="auto" w:frame="1"/>
        </w:rPr>
      </w:pPr>
    </w:p>
    <w:p w14:paraId="43435B3A" w14:textId="719926A9"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b/>
          <w:bCs/>
          <w:color w:val="000000" w:themeColor="text1"/>
          <w:bdr w:val="none" w:sz="0" w:space="0" w:color="auto" w:frame="1"/>
        </w:rPr>
        <w:t>Graduate Faculty Appointment Process</w:t>
      </w:r>
    </w:p>
    <w:p w14:paraId="0A0F9A10" w14:textId="77777777"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color w:val="000000" w:themeColor="text1"/>
        </w:rPr>
        <w:t>For Full and Associate membership: the department chair (or their designee) sends the dean of the college an appointment request for Full or Associate graduate faculty status. The department attaches the individual’s current curriculum vitae to the request. The dean of the college (or their designee) reviews the request and, if approved, forwards the request to the dean of the Graduate School (or their designee). The Graduate School reviews the request and responds to the college, the department, and the graduate faculty nominee. </w:t>
      </w:r>
    </w:p>
    <w:p w14:paraId="13961110" w14:textId="77777777"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color w:val="000000" w:themeColor="text1"/>
        </w:rPr>
        <w:t>For Affiliate membership: the department chair (or their designee) sends the Graduate School an appointment request for Affiliate graduate faculty status. The department attaches the individual’s current curriculum vitae to the request. The dean of the Graduate School or their designee) reviews the request and responds to the college, the department, and the graduate faculty nominee. </w:t>
      </w:r>
    </w:p>
    <w:p w14:paraId="222D294F" w14:textId="77777777" w:rsidR="00190F0E" w:rsidRPr="00324D3A" w:rsidRDefault="00190F0E" w:rsidP="00190F0E">
      <w:pPr>
        <w:textAlignment w:val="baseline"/>
        <w:rPr>
          <w:rFonts w:eastAsia="Times New Roman" w:cstheme="minorHAnsi"/>
          <w:color w:val="000000" w:themeColor="text1"/>
        </w:rPr>
      </w:pPr>
    </w:p>
    <w:p w14:paraId="7F193D98" w14:textId="43334D66"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color w:val="000000" w:themeColor="text1"/>
        </w:rPr>
        <w:t xml:space="preserve">In all cases where the membership qualifications are not clear from the nominee’s curriculum vitae, the nomination must include a paragraph of justification to demonstrate that the nominee meets the </w:t>
      </w:r>
      <w:proofErr w:type="gramStart"/>
      <w:r w:rsidRPr="00324D3A">
        <w:rPr>
          <w:rFonts w:eastAsia="Times New Roman" w:cstheme="minorHAnsi"/>
          <w:color w:val="000000" w:themeColor="text1"/>
        </w:rPr>
        <w:t>department’s</w:t>
      </w:r>
      <w:proofErr w:type="gramEnd"/>
      <w:r w:rsidRPr="00324D3A">
        <w:rPr>
          <w:rFonts w:eastAsia="Times New Roman" w:cstheme="minorHAnsi"/>
          <w:color w:val="000000" w:themeColor="text1"/>
        </w:rPr>
        <w:t xml:space="preserve"> or college’s Standards for Graduate Faculty Status at the requested level (Full, Associate, or Affiliate).</w:t>
      </w:r>
    </w:p>
    <w:p w14:paraId="5CEE8F1A" w14:textId="77777777" w:rsidR="00190F0E" w:rsidRPr="00324D3A" w:rsidRDefault="00190F0E" w:rsidP="00190F0E">
      <w:pPr>
        <w:textAlignment w:val="baseline"/>
        <w:rPr>
          <w:rFonts w:eastAsia="Times New Roman" w:cstheme="minorHAnsi"/>
          <w:b/>
          <w:bCs/>
          <w:color w:val="000000" w:themeColor="text1"/>
          <w:bdr w:val="none" w:sz="0" w:space="0" w:color="auto" w:frame="1"/>
        </w:rPr>
      </w:pPr>
    </w:p>
    <w:p w14:paraId="065CE58F" w14:textId="39967AB7"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b/>
          <w:bCs/>
          <w:color w:val="000000" w:themeColor="text1"/>
          <w:bdr w:val="none" w:sz="0" w:space="0" w:color="auto" w:frame="1"/>
        </w:rPr>
        <w:t>Graduate Faculty Appointment of Faculty or Staff in Administrative Roles</w:t>
      </w:r>
    </w:p>
    <w:p w14:paraId="34DF63CF" w14:textId="77777777"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color w:val="000000" w:themeColor="text1"/>
        </w:rPr>
        <w:t>Faculty or staff members currently on administrative appointments, or returning to the faculty from such appointments, are eligible for Full or Associate membership on the graduate faculty. They should show, at a minimum, promise of satisfying the appropriate departmental and University membership criteria. The individual's record of teaching, research, and graduate mentorship before becoming an administrator should be considered.</w:t>
      </w:r>
    </w:p>
    <w:p w14:paraId="36F7CEB5" w14:textId="77777777" w:rsidR="00190F0E" w:rsidRPr="00324D3A" w:rsidRDefault="00190F0E" w:rsidP="00190F0E">
      <w:pPr>
        <w:textAlignment w:val="baseline"/>
        <w:rPr>
          <w:rFonts w:eastAsia="Times New Roman" w:cstheme="minorHAnsi"/>
          <w:b/>
          <w:bCs/>
          <w:color w:val="000000" w:themeColor="text1"/>
          <w:bdr w:val="none" w:sz="0" w:space="0" w:color="auto" w:frame="1"/>
        </w:rPr>
      </w:pPr>
    </w:p>
    <w:p w14:paraId="7904D343" w14:textId="46F4C35E"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b/>
          <w:bCs/>
          <w:color w:val="000000" w:themeColor="text1"/>
          <w:bdr w:val="none" w:sz="0" w:space="0" w:color="auto" w:frame="1"/>
        </w:rPr>
        <w:t>Graduate Faculty Appointment of Retired Faculty</w:t>
      </w:r>
    </w:p>
    <w:p w14:paraId="4929B417" w14:textId="77777777"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color w:val="000000" w:themeColor="text1"/>
        </w:rPr>
        <w:t xml:space="preserve">After a graduate faculty member retires, the graduate faculty member may need to continue to serve as a chair or member of students' thesis or dissertation committees and/or to perform </w:t>
      </w:r>
      <w:r w:rsidRPr="00324D3A">
        <w:rPr>
          <w:rFonts w:eastAsia="Times New Roman" w:cstheme="minorHAnsi"/>
          <w:color w:val="000000" w:themeColor="text1"/>
        </w:rPr>
        <w:lastRenderedPageBreak/>
        <w:t>other specific functions. For this reason, members of the graduate faculty are automatically permitted to retain the graduate faculty status that they hold upon retirement, for up to three years after retirement. After that point, retired graduate faculty members may be appointed as Affiliate members of the graduate faculty, with terms of one to three years, for as long as needed, for this purpose and/or to perform other specific functions. The nomination and appointment procedures for these Affiliate appointments are the same as those adopted by the academic unit and the University. </w:t>
      </w:r>
    </w:p>
    <w:p w14:paraId="32602D42" w14:textId="77777777" w:rsidR="00190F0E" w:rsidRPr="00324D3A" w:rsidRDefault="00190F0E" w:rsidP="00190F0E">
      <w:pPr>
        <w:textAlignment w:val="baseline"/>
        <w:rPr>
          <w:rFonts w:eastAsia="Times New Roman" w:cstheme="minorHAnsi"/>
          <w:b/>
          <w:bCs/>
          <w:color w:val="000000" w:themeColor="text1"/>
          <w:bdr w:val="none" w:sz="0" w:space="0" w:color="auto" w:frame="1"/>
        </w:rPr>
      </w:pPr>
    </w:p>
    <w:p w14:paraId="5FEEAED8" w14:textId="5BC1BC43"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b/>
          <w:bCs/>
          <w:color w:val="000000" w:themeColor="text1"/>
          <w:bdr w:val="none" w:sz="0" w:space="0" w:color="auto" w:frame="1"/>
        </w:rPr>
        <w:t>Graduate Faculty Appointment in Multiple Departments</w:t>
      </w:r>
    </w:p>
    <w:p w14:paraId="62B68229" w14:textId="77777777"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color w:val="000000" w:themeColor="text1"/>
        </w:rPr>
        <w:t>To accommodate the full breadth of UA’s expertise as well as to facilitate the establishment of interdepartmental and/or interdisciplinary student committees, it is permissible that individuals be appointed as Full or Associate graduate faculty in multiple departments, to teach graduate courses and/or serve on graduate thesis/dissertation committees. The appointment process follows the regular Graduate Faculty Appointment Procedure, with the department chair initiating the request for an appointment. The type of appointment will depend on each department’s criteria and their regular appointment procedures. In cases in which the faculty member has no contractual effort assigned in the department in which the Full or Associate appointment is requested, the chair’s request for an appointment must include confirmation that the request is supported by the chair(s) of the faculty member’s home department(s). </w:t>
      </w:r>
    </w:p>
    <w:p w14:paraId="0EAC5C1A" w14:textId="77777777"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color w:val="000000" w:themeColor="text1"/>
        </w:rPr>
        <w:t>Secondary graduate faculty appointments are initiated by the secondary department and with the approval of the home department. </w:t>
      </w:r>
    </w:p>
    <w:p w14:paraId="72843541" w14:textId="77777777" w:rsidR="00190F0E" w:rsidRPr="00324D3A" w:rsidRDefault="00190F0E" w:rsidP="00190F0E">
      <w:pPr>
        <w:textAlignment w:val="baseline"/>
        <w:rPr>
          <w:rFonts w:eastAsia="Times New Roman" w:cstheme="minorHAnsi"/>
          <w:b/>
          <w:bCs/>
          <w:color w:val="000000" w:themeColor="text1"/>
          <w:bdr w:val="none" w:sz="0" w:space="0" w:color="auto" w:frame="1"/>
        </w:rPr>
      </w:pPr>
    </w:p>
    <w:p w14:paraId="055618EE" w14:textId="2EB50B6E"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b/>
          <w:bCs/>
          <w:color w:val="000000" w:themeColor="text1"/>
          <w:bdr w:val="none" w:sz="0" w:space="0" w:color="auto" w:frame="1"/>
        </w:rPr>
        <w:t>Graduate Faculty Appointment in UA System</w:t>
      </w:r>
    </w:p>
    <w:p w14:paraId="530720E0" w14:textId="77777777"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color w:val="000000" w:themeColor="text1"/>
        </w:rPr>
        <w:t>UA has several graduate programs that operate jointly with the University of Alabama-Huntsville and/or the University of Alabama-Birmingham. For these programs, faculty or research staff who have been approved for graduate faculty status at their home institution may be nominated as joint graduate faculty at The University of Alabama. In order that our joint graduate programs may operate seamlessly, these faculty shall exercise all the rights and privileges of a UA member of the graduate faculty at the corresponding level (e.g., Full joint graduate faculty members may direct doctoral committees at UA). The nomination process for joint graduate faculty shall follow the same procedures as outlined above for UA faculty and staff.</w:t>
      </w:r>
    </w:p>
    <w:p w14:paraId="5E7D56EF" w14:textId="77777777" w:rsidR="00190F0E" w:rsidRPr="00324D3A" w:rsidRDefault="00190F0E" w:rsidP="00190F0E">
      <w:pPr>
        <w:textAlignment w:val="baseline"/>
        <w:rPr>
          <w:rFonts w:eastAsia="Times New Roman" w:cstheme="minorHAnsi"/>
          <w:b/>
          <w:bCs/>
          <w:color w:val="000000" w:themeColor="text1"/>
          <w:bdr w:val="none" w:sz="0" w:space="0" w:color="auto" w:frame="1"/>
        </w:rPr>
      </w:pPr>
    </w:p>
    <w:p w14:paraId="538516FA" w14:textId="54FBE497"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b/>
          <w:bCs/>
          <w:color w:val="000000" w:themeColor="text1"/>
          <w:bdr w:val="none" w:sz="0" w:space="0" w:color="auto" w:frame="1"/>
        </w:rPr>
        <w:t>Terms of Appointment</w:t>
      </w:r>
    </w:p>
    <w:p w14:paraId="33CF5A59" w14:textId="77777777"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color w:val="000000" w:themeColor="text1"/>
        </w:rPr>
        <w:t xml:space="preserve">Once appointed, Full and Associate graduate faculty membership is continuous </w:t>
      </w:r>
      <w:proofErr w:type="gramStart"/>
      <w:r w:rsidRPr="00324D3A">
        <w:rPr>
          <w:rFonts w:eastAsia="Times New Roman" w:cstheme="minorHAnsi"/>
          <w:color w:val="000000" w:themeColor="text1"/>
        </w:rPr>
        <w:t>as long as</w:t>
      </w:r>
      <w:proofErr w:type="gramEnd"/>
      <w:r w:rsidRPr="00324D3A">
        <w:rPr>
          <w:rFonts w:eastAsia="Times New Roman" w:cstheme="minorHAnsi"/>
          <w:color w:val="000000" w:themeColor="text1"/>
        </w:rPr>
        <w:t xml:space="preserve"> the graduate faculty member continues to meet the department’s written standards for professional currency and graduate mentorship (“Standards for Graduate Faculty Status”).</w:t>
      </w:r>
    </w:p>
    <w:p w14:paraId="1C60409B" w14:textId="77777777" w:rsidR="00190F0E" w:rsidRPr="00324D3A" w:rsidRDefault="00190F0E" w:rsidP="00190F0E">
      <w:pPr>
        <w:textAlignment w:val="baseline"/>
        <w:rPr>
          <w:rFonts w:eastAsia="Times New Roman" w:cstheme="minorHAnsi"/>
          <w:b/>
          <w:bCs/>
          <w:color w:val="000000" w:themeColor="text1"/>
          <w:bdr w:val="none" w:sz="0" w:space="0" w:color="auto" w:frame="1"/>
        </w:rPr>
      </w:pPr>
    </w:p>
    <w:p w14:paraId="34C9E6E4" w14:textId="097D061D"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b/>
          <w:bCs/>
          <w:color w:val="000000" w:themeColor="text1"/>
          <w:bdr w:val="none" w:sz="0" w:space="0" w:color="auto" w:frame="1"/>
        </w:rPr>
        <w:t>Review of Graduate Faculty Membership</w:t>
      </w:r>
    </w:p>
    <w:p w14:paraId="40AB9B82" w14:textId="77777777"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color w:val="000000" w:themeColor="text1"/>
        </w:rPr>
        <w:t>During the normal course of annual review, Department Chairs will affirm that Full or Associate graduate faculty members continue to meet the department’s written standards for professional currency and graduate mentorship (“Standards for Graduate Faculty Status”).</w:t>
      </w:r>
    </w:p>
    <w:p w14:paraId="67A7B69B" w14:textId="77777777" w:rsidR="00190F0E" w:rsidRPr="00324D3A" w:rsidRDefault="00190F0E" w:rsidP="00190F0E">
      <w:pPr>
        <w:textAlignment w:val="baseline"/>
        <w:rPr>
          <w:rFonts w:eastAsia="Times New Roman" w:cstheme="minorHAnsi"/>
          <w:b/>
          <w:bCs/>
          <w:color w:val="000000" w:themeColor="text1"/>
          <w:bdr w:val="none" w:sz="0" w:space="0" w:color="auto" w:frame="1"/>
        </w:rPr>
      </w:pPr>
    </w:p>
    <w:p w14:paraId="5364E89E" w14:textId="77777777" w:rsidR="00190F0E" w:rsidRPr="00324D3A" w:rsidRDefault="00190F0E" w:rsidP="00190F0E">
      <w:pPr>
        <w:textAlignment w:val="baseline"/>
        <w:rPr>
          <w:rFonts w:eastAsia="Times New Roman" w:cstheme="minorHAnsi"/>
          <w:b/>
          <w:bCs/>
          <w:color w:val="000000" w:themeColor="text1"/>
          <w:bdr w:val="none" w:sz="0" w:space="0" w:color="auto" w:frame="1"/>
        </w:rPr>
      </w:pPr>
    </w:p>
    <w:p w14:paraId="1279AC89" w14:textId="28154781"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b/>
          <w:bCs/>
          <w:color w:val="000000" w:themeColor="text1"/>
          <w:bdr w:val="none" w:sz="0" w:space="0" w:color="auto" w:frame="1"/>
        </w:rPr>
        <w:lastRenderedPageBreak/>
        <w:t>Revocation of Graduate Faculty Status</w:t>
      </w:r>
    </w:p>
    <w:p w14:paraId="60DCC33B" w14:textId="77777777"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color w:val="000000" w:themeColor="text1"/>
        </w:rPr>
        <w:t>A member of the graduate faculty of the University of Alabama may have their graduate faculty status changed or revoked if they fail to meet the department’s Standards for Graduate Faculty Status. Specific criteria related to the change or revocation of graduate faculty status shall be outlined by each department or college in their Standards for Graduate Faculty Status, and shall be based on two general criteria:</w:t>
      </w:r>
    </w:p>
    <w:p w14:paraId="103AA8DF" w14:textId="77777777" w:rsidR="00190F0E" w:rsidRPr="00324D3A" w:rsidRDefault="00190F0E" w:rsidP="00190F0E">
      <w:pPr>
        <w:numPr>
          <w:ilvl w:val="0"/>
          <w:numId w:val="8"/>
        </w:numPr>
        <w:spacing w:before="120"/>
        <w:textAlignment w:val="baseline"/>
        <w:rPr>
          <w:rFonts w:eastAsia="Times New Roman" w:cstheme="minorHAnsi"/>
          <w:color w:val="000000" w:themeColor="text1"/>
        </w:rPr>
      </w:pPr>
      <w:r w:rsidRPr="00324D3A">
        <w:rPr>
          <w:rFonts w:eastAsia="Times New Roman" w:cstheme="minorHAnsi"/>
          <w:color w:val="000000" w:themeColor="text1"/>
        </w:rPr>
        <w:t>Professional currency and/or research productivity, as defined by the department. Generally, a department would provide one or two years of warning to a faculty member before proceeding with revocation of graduate faculty status.</w:t>
      </w:r>
    </w:p>
    <w:p w14:paraId="356D1ED9" w14:textId="77777777" w:rsidR="00190F0E" w:rsidRPr="00324D3A" w:rsidRDefault="00190F0E" w:rsidP="00190F0E">
      <w:pPr>
        <w:numPr>
          <w:ilvl w:val="0"/>
          <w:numId w:val="8"/>
        </w:numPr>
        <w:spacing w:before="120"/>
        <w:textAlignment w:val="baseline"/>
        <w:rPr>
          <w:rFonts w:eastAsia="Times New Roman" w:cstheme="minorHAnsi"/>
          <w:color w:val="000000" w:themeColor="text1"/>
        </w:rPr>
      </w:pPr>
      <w:r w:rsidRPr="00324D3A">
        <w:rPr>
          <w:rFonts w:eastAsia="Times New Roman" w:cstheme="minorHAnsi"/>
          <w:color w:val="000000" w:themeColor="text1"/>
        </w:rPr>
        <w:t>Record of successful graduate mentorship.</w:t>
      </w:r>
    </w:p>
    <w:p w14:paraId="770C3021" w14:textId="77777777" w:rsidR="00190F0E" w:rsidRPr="00324D3A" w:rsidRDefault="00190F0E" w:rsidP="00190F0E">
      <w:pPr>
        <w:textAlignment w:val="baseline"/>
        <w:rPr>
          <w:rFonts w:eastAsia="Times New Roman" w:cstheme="minorHAnsi"/>
          <w:color w:val="000000" w:themeColor="text1"/>
        </w:rPr>
      </w:pPr>
    </w:p>
    <w:p w14:paraId="36452846" w14:textId="613CDD8C"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color w:val="000000" w:themeColor="text1"/>
        </w:rPr>
        <w:t>Revocation may occur when a faculty member fails to fulfill the responsibilities of a member of the Graduate Faculty to teach graduate student(s) effectively, in a civil, professionally appropriate manner, to do scholarly research and creative work of high quality or remain active in the practice of the profession, and to direct the research/professional development of graduate student(s) so that they progress toward graduation in a timely manner appropriate to the field. Failure to teach graduate students effectively and/or to direct the research and professional development of graduate student(s) also includes any acts listed in the Faculty Handbook “Code of Conduct and Standards of Behavior.”</w:t>
      </w:r>
    </w:p>
    <w:p w14:paraId="5F7BC685" w14:textId="77777777" w:rsidR="00190F0E" w:rsidRPr="00324D3A" w:rsidRDefault="00190F0E" w:rsidP="00190F0E">
      <w:pPr>
        <w:textAlignment w:val="baseline"/>
        <w:rPr>
          <w:rFonts w:eastAsia="Times New Roman" w:cstheme="minorHAnsi"/>
          <w:color w:val="000000" w:themeColor="text1"/>
        </w:rPr>
      </w:pPr>
    </w:p>
    <w:p w14:paraId="1626DD2C" w14:textId="299F4DE3"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color w:val="000000" w:themeColor="text1"/>
        </w:rPr>
        <w:t>The department chair or graduate program director may initiate the review process at the unit level. The unit may recommend revocation of graduate faculty status by a two-thirds majority vote of the Full and Associate graduate faculty members in the department, or a two-thirds majority vote by an elected committee of the unit, or another process agreed upon within the college, depending on the unit's particular governance policies.  This recommendation shall be forwarded to the college dean, who shall issue a recommendation to the Graduate School. The recommendation will then be acted upon by the dean of the Graduate School.</w:t>
      </w:r>
    </w:p>
    <w:p w14:paraId="679A879B" w14:textId="77777777" w:rsidR="00190F0E" w:rsidRPr="00324D3A" w:rsidRDefault="00190F0E" w:rsidP="00190F0E">
      <w:pPr>
        <w:textAlignment w:val="baseline"/>
        <w:rPr>
          <w:rFonts w:eastAsia="Times New Roman" w:cstheme="minorHAnsi"/>
          <w:color w:val="000000" w:themeColor="text1"/>
        </w:rPr>
      </w:pPr>
    </w:p>
    <w:p w14:paraId="6BFFAF5B" w14:textId="2A7BB9FA"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color w:val="000000" w:themeColor="text1"/>
        </w:rPr>
        <w:t>In exceptional cases, revocation of graduate faculty status may also be initiated by the Dean of the college, the Dean of the Graduate School, the Provost, or the President.</w:t>
      </w:r>
    </w:p>
    <w:p w14:paraId="7C1304B8" w14:textId="77777777" w:rsidR="00190F0E" w:rsidRPr="00324D3A" w:rsidRDefault="00190F0E" w:rsidP="00190F0E">
      <w:pPr>
        <w:textAlignment w:val="baseline"/>
        <w:rPr>
          <w:rFonts w:eastAsia="Times New Roman" w:cstheme="minorHAnsi"/>
          <w:color w:val="000000" w:themeColor="text1"/>
        </w:rPr>
      </w:pPr>
    </w:p>
    <w:p w14:paraId="4AF7361C" w14:textId="2E5132B5" w:rsidR="00190F0E" w:rsidRPr="00324D3A" w:rsidRDefault="00190F0E" w:rsidP="00190F0E">
      <w:pPr>
        <w:textAlignment w:val="baseline"/>
        <w:rPr>
          <w:rFonts w:eastAsia="Times New Roman" w:cstheme="minorHAnsi"/>
          <w:color w:val="000000" w:themeColor="text1"/>
        </w:rPr>
      </w:pPr>
      <w:r w:rsidRPr="00324D3A">
        <w:rPr>
          <w:rFonts w:eastAsia="Times New Roman" w:cstheme="minorHAnsi"/>
          <w:color w:val="000000" w:themeColor="text1"/>
        </w:rPr>
        <w:t>Faculty may request to be reinstated to the Graduate Faculty at such time as the issues related to the earlier revocation have been resolved. The process is the same as for initial appointment to the Graduate Faculty.</w:t>
      </w:r>
    </w:p>
    <w:p w14:paraId="2C80DBE4" w14:textId="6F60ACD7" w:rsidR="00C918EA" w:rsidRPr="00324D3A" w:rsidRDefault="00C918EA" w:rsidP="00C918EA">
      <w:pPr>
        <w:rPr>
          <w:rFonts w:cstheme="minorHAnsi"/>
          <w:color w:val="000000" w:themeColor="text1"/>
        </w:rPr>
      </w:pPr>
    </w:p>
    <w:p w14:paraId="703C519A" w14:textId="2135C63D" w:rsidR="00C918EA" w:rsidRPr="00324D3A" w:rsidRDefault="00F768A0" w:rsidP="00C918EA">
      <w:pPr>
        <w:rPr>
          <w:rFonts w:cstheme="minorHAnsi"/>
          <w:color w:val="000000" w:themeColor="text1"/>
        </w:rPr>
      </w:pPr>
      <w:r w:rsidRPr="00324D3A">
        <w:rPr>
          <w:rFonts w:cstheme="minorHAnsi"/>
          <w:b/>
          <w:bCs/>
          <w:color w:val="000000" w:themeColor="text1"/>
        </w:rPr>
        <w:t xml:space="preserve">What </w:t>
      </w:r>
      <w:r w:rsidR="00C918EA" w:rsidRPr="00324D3A">
        <w:rPr>
          <w:rFonts w:cstheme="minorHAnsi"/>
          <w:b/>
          <w:bCs/>
          <w:color w:val="000000" w:themeColor="text1"/>
        </w:rPr>
        <w:t>Policy</w:t>
      </w:r>
      <w:r w:rsidRPr="00324D3A">
        <w:rPr>
          <w:rFonts w:cstheme="minorHAnsi"/>
          <w:b/>
          <w:bCs/>
          <w:color w:val="000000" w:themeColor="text1"/>
        </w:rPr>
        <w:t xml:space="preserve"> is Connected?</w:t>
      </w:r>
      <w:r w:rsidR="00C918EA" w:rsidRPr="00324D3A">
        <w:rPr>
          <w:rFonts w:cstheme="minorHAnsi"/>
          <w:b/>
          <w:bCs/>
          <w:color w:val="000000" w:themeColor="text1"/>
        </w:rPr>
        <w:t xml:space="preserve"> </w:t>
      </w:r>
      <w:r w:rsidR="00190F0E" w:rsidRPr="00324D3A">
        <w:rPr>
          <w:rFonts w:cstheme="minorHAnsi"/>
          <w:color w:val="000000" w:themeColor="text1"/>
        </w:rPr>
        <w:t>UA Faculty</w:t>
      </w:r>
      <w:r w:rsidR="00AE4887" w:rsidRPr="00324D3A">
        <w:rPr>
          <w:rFonts w:cstheme="minorHAnsi"/>
          <w:color w:val="000000" w:themeColor="text1"/>
        </w:rPr>
        <w:t xml:space="preserve"> Handbook</w:t>
      </w:r>
      <w:r w:rsidR="00190F0E" w:rsidRPr="00324D3A">
        <w:rPr>
          <w:rFonts w:cstheme="minorHAnsi"/>
          <w:color w:val="000000" w:themeColor="text1"/>
        </w:rPr>
        <w:t xml:space="preserve">, </w:t>
      </w:r>
      <w:r w:rsidR="00AE4887" w:rsidRPr="00324D3A">
        <w:rPr>
          <w:rFonts w:cstheme="minorHAnsi"/>
          <w:color w:val="000000" w:themeColor="text1"/>
        </w:rPr>
        <w:t xml:space="preserve">Chapter </w:t>
      </w:r>
      <w:r w:rsidR="00E53D9B" w:rsidRPr="00324D3A">
        <w:rPr>
          <w:rFonts w:cstheme="minorHAnsi"/>
          <w:color w:val="000000" w:themeColor="text1"/>
        </w:rPr>
        <w:t>2</w:t>
      </w:r>
      <w:r w:rsidR="00324D3A">
        <w:rPr>
          <w:rFonts w:cstheme="minorHAnsi"/>
          <w:color w:val="000000" w:themeColor="text1"/>
        </w:rPr>
        <w:t>,</w:t>
      </w:r>
      <w:r w:rsidR="00190F0E" w:rsidRPr="00324D3A">
        <w:rPr>
          <w:rFonts w:cstheme="minorHAnsi"/>
          <w:color w:val="000000" w:themeColor="text1"/>
        </w:rPr>
        <w:t xml:space="preserve"> Section XI</w:t>
      </w:r>
      <w:r w:rsidR="00AE4887" w:rsidRPr="00324D3A">
        <w:rPr>
          <w:rFonts w:cstheme="minorHAnsi"/>
          <w:color w:val="000000" w:themeColor="text1"/>
        </w:rPr>
        <w:t>.</w:t>
      </w:r>
    </w:p>
    <w:p w14:paraId="3F30C212" w14:textId="77777777" w:rsidR="00E53D9B" w:rsidRPr="00324D3A" w:rsidRDefault="00E53D9B" w:rsidP="00C918EA">
      <w:pPr>
        <w:rPr>
          <w:rFonts w:cstheme="minorHAnsi"/>
          <w:color w:val="000000" w:themeColor="text1"/>
        </w:rPr>
      </w:pPr>
    </w:p>
    <w:p w14:paraId="665D16FF" w14:textId="6637FECD" w:rsidR="00C918EA" w:rsidRPr="00324D3A" w:rsidRDefault="00C918EA" w:rsidP="00C918EA">
      <w:pPr>
        <w:rPr>
          <w:rFonts w:cstheme="minorHAnsi"/>
          <w:b/>
          <w:bCs/>
          <w:color w:val="000000" w:themeColor="text1"/>
        </w:rPr>
      </w:pPr>
      <w:r w:rsidRPr="00324D3A">
        <w:rPr>
          <w:rFonts w:cstheme="minorHAnsi"/>
          <w:b/>
          <w:bCs/>
          <w:color w:val="000000" w:themeColor="text1"/>
        </w:rPr>
        <w:t>Scope:</w:t>
      </w:r>
      <w:r w:rsidRPr="00324D3A">
        <w:rPr>
          <w:rFonts w:cstheme="minorHAnsi"/>
          <w:color w:val="000000" w:themeColor="text1"/>
        </w:rPr>
        <w:t xml:space="preserve"> </w:t>
      </w:r>
      <w:r w:rsidR="003C524E" w:rsidRPr="00324D3A">
        <w:rPr>
          <w:rFonts w:cstheme="minorHAnsi"/>
          <w:color w:val="000000" w:themeColor="text1"/>
        </w:rPr>
        <w:t xml:space="preserve">College of Education </w:t>
      </w:r>
      <w:r w:rsidR="00190F0E" w:rsidRPr="00324D3A">
        <w:rPr>
          <w:rFonts w:cstheme="minorHAnsi"/>
          <w:color w:val="000000" w:themeColor="text1"/>
        </w:rPr>
        <w:t>Faculty</w:t>
      </w:r>
    </w:p>
    <w:p w14:paraId="5161C956" w14:textId="77777777" w:rsidR="00C918EA" w:rsidRPr="00324D3A" w:rsidRDefault="00C918EA">
      <w:pPr>
        <w:rPr>
          <w:rFonts w:cstheme="minorHAnsi"/>
          <w:color w:val="000000" w:themeColor="text1"/>
        </w:rPr>
      </w:pPr>
    </w:p>
    <w:p w14:paraId="4BC0583C" w14:textId="77777777" w:rsidR="00E524D5" w:rsidRPr="00324D3A" w:rsidRDefault="00E524D5">
      <w:pPr>
        <w:rPr>
          <w:rFonts w:cstheme="minorHAnsi"/>
          <w:color w:val="000000" w:themeColor="text1"/>
        </w:rPr>
      </w:pPr>
    </w:p>
    <w:sectPr w:rsidR="00E524D5" w:rsidRPr="00324D3A"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19D2"/>
    <w:multiLevelType w:val="hybridMultilevel"/>
    <w:tmpl w:val="79485B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5715B"/>
    <w:multiLevelType w:val="multilevel"/>
    <w:tmpl w:val="0B366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F0024A"/>
    <w:multiLevelType w:val="hybridMultilevel"/>
    <w:tmpl w:val="138C3546"/>
    <w:lvl w:ilvl="0" w:tplc="3D6CE4E8">
      <w:start w:val="4"/>
      <w:numFmt w:val="upperRoman"/>
      <w:lvlText w:val="%1."/>
      <w:lvlJc w:val="left"/>
      <w:pPr>
        <w:ind w:left="1197" w:hanging="332"/>
      </w:pPr>
      <w:rPr>
        <w:rFonts w:ascii="Times New Roman" w:eastAsia="Times New Roman" w:hAnsi="Times New Roman" w:cs="Times New Roman" w:hint="default"/>
        <w:b/>
        <w:bCs/>
        <w:i w:val="0"/>
        <w:iCs w:val="0"/>
        <w:color w:val="3B3B3B"/>
        <w:spacing w:val="-1"/>
        <w:w w:val="104"/>
        <w:sz w:val="15"/>
        <w:szCs w:val="15"/>
        <w:lang w:val="en-US" w:eastAsia="en-US" w:bidi="ar-SA"/>
      </w:rPr>
    </w:lvl>
    <w:lvl w:ilvl="1" w:tplc="1C9C08B2">
      <w:start w:val="1"/>
      <w:numFmt w:val="lowerLetter"/>
      <w:lvlText w:val="(%2)"/>
      <w:lvlJc w:val="left"/>
      <w:pPr>
        <w:ind w:left="1606" w:hanging="410"/>
      </w:pPr>
      <w:rPr>
        <w:rFonts w:hint="default"/>
        <w:w w:val="96"/>
        <w:lang w:val="en-US" w:eastAsia="en-US" w:bidi="ar-SA"/>
      </w:rPr>
    </w:lvl>
    <w:lvl w:ilvl="2" w:tplc="0AEED024">
      <w:numFmt w:val="bullet"/>
      <w:lvlText w:val="•"/>
      <w:lvlJc w:val="left"/>
      <w:pPr>
        <w:ind w:left="2420" w:hanging="410"/>
      </w:pPr>
      <w:rPr>
        <w:rFonts w:hint="default"/>
        <w:lang w:val="en-US" w:eastAsia="en-US" w:bidi="ar-SA"/>
      </w:rPr>
    </w:lvl>
    <w:lvl w:ilvl="3" w:tplc="960CE620">
      <w:numFmt w:val="bullet"/>
      <w:lvlText w:val="•"/>
      <w:lvlJc w:val="left"/>
      <w:pPr>
        <w:ind w:left="3240" w:hanging="410"/>
      </w:pPr>
      <w:rPr>
        <w:rFonts w:hint="default"/>
        <w:lang w:val="en-US" w:eastAsia="en-US" w:bidi="ar-SA"/>
      </w:rPr>
    </w:lvl>
    <w:lvl w:ilvl="4" w:tplc="F44A3BAC">
      <w:numFmt w:val="bullet"/>
      <w:lvlText w:val="•"/>
      <w:lvlJc w:val="left"/>
      <w:pPr>
        <w:ind w:left="4060" w:hanging="410"/>
      </w:pPr>
      <w:rPr>
        <w:rFonts w:hint="default"/>
        <w:lang w:val="en-US" w:eastAsia="en-US" w:bidi="ar-SA"/>
      </w:rPr>
    </w:lvl>
    <w:lvl w:ilvl="5" w:tplc="95845146">
      <w:numFmt w:val="bullet"/>
      <w:lvlText w:val="•"/>
      <w:lvlJc w:val="left"/>
      <w:pPr>
        <w:ind w:left="4880" w:hanging="410"/>
      </w:pPr>
      <w:rPr>
        <w:rFonts w:hint="default"/>
        <w:lang w:val="en-US" w:eastAsia="en-US" w:bidi="ar-SA"/>
      </w:rPr>
    </w:lvl>
    <w:lvl w:ilvl="6" w:tplc="72546C4E">
      <w:numFmt w:val="bullet"/>
      <w:lvlText w:val="•"/>
      <w:lvlJc w:val="left"/>
      <w:pPr>
        <w:ind w:left="5700" w:hanging="410"/>
      </w:pPr>
      <w:rPr>
        <w:rFonts w:hint="default"/>
        <w:lang w:val="en-US" w:eastAsia="en-US" w:bidi="ar-SA"/>
      </w:rPr>
    </w:lvl>
    <w:lvl w:ilvl="7" w:tplc="6DEED96E">
      <w:numFmt w:val="bullet"/>
      <w:lvlText w:val="•"/>
      <w:lvlJc w:val="left"/>
      <w:pPr>
        <w:ind w:left="6520" w:hanging="410"/>
      </w:pPr>
      <w:rPr>
        <w:rFonts w:hint="default"/>
        <w:lang w:val="en-US" w:eastAsia="en-US" w:bidi="ar-SA"/>
      </w:rPr>
    </w:lvl>
    <w:lvl w:ilvl="8" w:tplc="06AE8500">
      <w:numFmt w:val="bullet"/>
      <w:lvlText w:val="•"/>
      <w:lvlJc w:val="left"/>
      <w:pPr>
        <w:ind w:left="7340" w:hanging="410"/>
      </w:pPr>
      <w:rPr>
        <w:rFonts w:hint="default"/>
        <w:lang w:val="en-US" w:eastAsia="en-US" w:bidi="ar-SA"/>
      </w:rPr>
    </w:lvl>
  </w:abstractNum>
  <w:abstractNum w:abstractNumId="3" w15:restartNumberingAfterBreak="0">
    <w:nsid w:val="4B703FC8"/>
    <w:multiLevelType w:val="hybridMultilevel"/>
    <w:tmpl w:val="147C33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234B5"/>
    <w:multiLevelType w:val="hybridMultilevel"/>
    <w:tmpl w:val="85AC80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A7954"/>
    <w:multiLevelType w:val="hybridMultilevel"/>
    <w:tmpl w:val="FB464E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03640"/>
    <w:multiLevelType w:val="multilevel"/>
    <w:tmpl w:val="EA48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1537B7"/>
    <w:multiLevelType w:val="hybridMultilevel"/>
    <w:tmpl w:val="5066E83E"/>
    <w:lvl w:ilvl="0" w:tplc="50AE9672">
      <w:start w:val="1"/>
      <w:numFmt w:val="decimal"/>
      <w:lvlText w:val="%1."/>
      <w:lvlJc w:val="left"/>
      <w:pPr>
        <w:ind w:left="421" w:hanging="331"/>
      </w:pPr>
      <w:rPr>
        <w:rFonts w:hint="default"/>
        <w:spacing w:val="-1"/>
        <w:w w:val="106"/>
        <w:lang w:val="en-US" w:eastAsia="en-US" w:bidi="ar-SA"/>
      </w:rPr>
    </w:lvl>
    <w:lvl w:ilvl="1" w:tplc="3FE46D26">
      <w:start w:val="1"/>
      <w:numFmt w:val="upperRoman"/>
      <w:lvlText w:val="%2."/>
      <w:lvlJc w:val="right"/>
      <w:pPr>
        <w:ind w:left="720" w:hanging="360"/>
      </w:pPr>
      <w:rPr>
        <w:b/>
        <w:bCs/>
      </w:rPr>
    </w:lvl>
    <w:lvl w:ilvl="2" w:tplc="65527D10">
      <w:start w:val="1"/>
      <w:numFmt w:val="lowerRoman"/>
      <w:lvlText w:val="%3."/>
      <w:lvlJc w:val="left"/>
      <w:pPr>
        <w:ind w:left="1154" w:hanging="338"/>
      </w:pPr>
      <w:rPr>
        <w:rFonts w:hint="default"/>
        <w:spacing w:val="-1"/>
        <w:w w:val="102"/>
      </w:rPr>
    </w:lvl>
    <w:lvl w:ilvl="3" w:tplc="5E928A76">
      <w:start w:val="1"/>
      <w:numFmt w:val="lowerLetter"/>
      <w:lvlText w:val="(%4)"/>
      <w:lvlJc w:val="left"/>
      <w:pPr>
        <w:ind w:left="1592" w:hanging="338"/>
      </w:pPr>
      <w:rPr>
        <w:rFonts w:hint="default"/>
        <w:spacing w:val="-1"/>
        <w:w w:val="91"/>
        <w:lang w:val="en-US" w:eastAsia="en-US" w:bidi="ar-SA"/>
      </w:rPr>
    </w:lvl>
    <w:lvl w:ilvl="4" w:tplc="44D61282">
      <w:start w:val="1"/>
      <w:numFmt w:val="decimal"/>
      <w:lvlText w:val="(%5)"/>
      <w:lvlJc w:val="left"/>
      <w:pPr>
        <w:ind w:left="1905" w:hanging="338"/>
      </w:pPr>
      <w:rPr>
        <w:rFonts w:hint="default"/>
        <w:spacing w:val="-1"/>
        <w:w w:val="90"/>
        <w:lang w:val="en-US" w:eastAsia="en-US" w:bidi="ar-SA"/>
      </w:rPr>
    </w:lvl>
    <w:lvl w:ilvl="5" w:tplc="7A50D848">
      <w:numFmt w:val="bullet"/>
      <w:lvlText w:val="•"/>
      <w:lvlJc w:val="left"/>
      <w:pPr>
        <w:ind w:left="1600" w:hanging="338"/>
      </w:pPr>
      <w:rPr>
        <w:rFonts w:hint="default"/>
        <w:lang w:val="en-US" w:eastAsia="en-US" w:bidi="ar-SA"/>
      </w:rPr>
    </w:lvl>
    <w:lvl w:ilvl="6" w:tplc="E32EE5B0">
      <w:numFmt w:val="bullet"/>
      <w:lvlText w:val="•"/>
      <w:lvlJc w:val="left"/>
      <w:pPr>
        <w:ind w:left="1900" w:hanging="338"/>
      </w:pPr>
      <w:rPr>
        <w:rFonts w:hint="default"/>
        <w:lang w:val="en-US" w:eastAsia="en-US" w:bidi="ar-SA"/>
      </w:rPr>
    </w:lvl>
    <w:lvl w:ilvl="7" w:tplc="1DA82F8E">
      <w:numFmt w:val="bullet"/>
      <w:lvlText w:val="•"/>
      <w:lvlJc w:val="left"/>
      <w:pPr>
        <w:ind w:left="3670" w:hanging="338"/>
      </w:pPr>
      <w:rPr>
        <w:rFonts w:hint="default"/>
        <w:lang w:val="en-US" w:eastAsia="en-US" w:bidi="ar-SA"/>
      </w:rPr>
    </w:lvl>
    <w:lvl w:ilvl="8" w:tplc="DC5AF0F6">
      <w:numFmt w:val="bullet"/>
      <w:lvlText w:val="•"/>
      <w:lvlJc w:val="left"/>
      <w:pPr>
        <w:ind w:left="5440" w:hanging="338"/>
      </w:pPr>
      <w:rPr>
        <w:rFonts w:hint="default"/>
        <w:lang w:val="en-US" w:eastAsia="en-US" w:bidi="ar-SA"/>
      </w:rPr>
    </w:lvl>
  </w:abstractNum>
  <w:num w:numId="1" w16cid:durableId="32926314">
    <w:abstractNumId w:val="2"/>
  </w:num>
  <w:num w:numId="2" w16cid:durableId="875850816">
    <w:abstractNumId w:val="7"/>
  </w:num>
  <w:num w:numId="3" w16cid:durableId="295261834">
    <w:abstractNumId w:val="4"/>
  </w:num>
  <w:num w:numId="4" w16cid:durableId="708460065">
    <w:abstractNumId w:val="5"/>
  </w:num>
  <w:num w:numId="5" w16cid:durableId="1074857985">
    <w:abstractNumId w:val="0"/>
  </w:num>
  <w:num w:numId="6" w16cid:durableId="1315908398">
    <w:abstractNumId w:val="3"/>
  </w:num>
  <w:num w:numId="7" w16cid:durableId="418866381">
    <w:abstractNumId w:val="1"/>
  </w:num>
  <w:num w:numId="8" w16cid:durableId="167379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F9"/>
    <w:rsid w:val="00012734"/>
    <w:rsid w:val="000332A1"/>
    <w:rsid w:val="000447B2"/>
    <w:rsid w:val="000500FE"/>
    <w:rsid w:val="00077377"/>
    <w:rsid w:val="0008773E"/>
    <w:rsid w:val="00130985"/>
    <w:rsid w:val="00131A9F"/>
    <w:rsid w:val="00140A53"/>
    <w:rsid w:val="00141E21"/>
    <w:rsid w:val="00146B52"/>
    <w:rsid w:val="00172C8C"/>
    <w:rsid w:val="00182D8D"/>
    <w:rsid w:val="0018677C"/>
    <w:rsid w:val="00190F0E"/>
    <w:rsid w:val="001D4DD8"/>
    <w:rsid w:val="00217945"/>
    <w:rsid w:val="002245B4"/>
    <w:rsid w:val="0025675B"/>
    <w:rsid w:val="00262CE1"/>
    <w:rsid w:val="002D7B32"/>
    <w:rsid w:val="002F1000"/>
    <w:rsid w:val="002F2B72"/>
    <w:rsid w:val="002F5B90"/>
    <w:rsid w:val="002F667F"/>
    <w:rsid w:val="0031202A"/>
    <w:rsid w:val="003120C1"/>
    <w:rsid w:val="0031518A"/>
    <w:rsid w:val="00324D3A"/>
    <w:rsid w:val="003253C3"/>
    <w:rsid w:val="003554CA"/>
    <w:rsid w:val="00361EF2"/>
    <w:rsid w:val="00395FE9"/>
    <w:rsid w:val="003C524E"/>
    <w:rsid w:val="00403E40"/>
    <w:rsid w:val="0047595E"/>
    <w:rsid w:val="004847CB"/>
    <w:rsid w:val="004C1809"/>
    <w:rsid w:val="00506F19"/>
    <w:rsid w:val="0052532C"/>
    <w:rsid w:val="0053595B"/>
    <w:rsid w:val="00536409"/>
    <w:rsid w:val="00571711"/>
    <w:rsid w:val="00581DA5"/>
    <w:rsid w:val="00591778"/>
    <w:rsid w:val="005A542F"/>
    <w:rsid w:val="005D441E"/>
    <w:rsid w:val="005E6DF9"/>
    <w:rsid w:val="00603139"/>
    <w:rsid w:val="0061524B"/>
    <w:rsid w:val="00630ED8"/>
    <w:rsid w:val="00661FCD"/>
    <w:rsid w:val="006624C8"/>
    <w:rsid w:val="006634DC"/>
    <w:rsid w:val="0066683C"/>
    <w:rsid w:val="00777EEF"/>
    <w:rsid w:val="007B7612"/>
    <w:rsid w:val="00817DC4"/>
    <w:rsid w:val="00840F20"/>
    <w:rsid w:val="00847512"/>
    <w:rsid w:val="0086203E"/>
    <w:rsid w:val="008B654F"/>
    <w:rsid w:val="008F243F"/>
    <w:rsid w:val="00973BB7"/>
    <w:rsid w:val="00997A0D"/>
    <w:rsid w:val="009B5F33"/>
    <w:rsid w:val="009C4ECA"/>
    <w:rsid w:val="009E4C78"/>
    <w:rsid w:val="009E5859"/>
    <w:rsid w:val="009F4207"/>
    <w:rsid w:val="00A57599"/>
    <w:rsid w:val="00AD0CB5"/>
    <w:rsid w:val="00AE4887"/>
    <w:rsid w:val="00B33661"/>
    <w:rsid w:val="00BB3D0B"/>
    <w:rsid w:val="00BD5FFA"/>
    <w:rsid w:val="00BE12FF"/>
    <w:rsid w:val="00C53FB8"/>
    <w:rsid w:val="00C757C0"/>
    <w:rsid w:val="00C80B42"/>
    <w:rsid w:val="00C918EA"/>
    <w:rsid w:val="00CB246D"/>
    <w:rsid w:val="00CC2C3D"/>
    <w:rsid w:val="00D14FEB"/>
    <w:rsid w:val="00D26AA1"/>
    <w:rsid w:val="00D412BB"/>
    <w:rsid w:val="00D76CF1"/>
    <w:rsid w:val="00D85DD4"/>
    <w:rsid w:val="00D900A7"/>
    <w:rsid w:val="00DB5156"/>
    <w:rsid w:val="00DC77D7"/>
    <w:rsid w:val="00DD41E4"/>
    <w:rsid w:val="00E07300"/>
    <w:rsid w:val="00E13D76"/>
    <w:rsid w:val="00E213D6"/>
    <w:rsid w:val="00E2447D"/>
    <w:rsid w:val="00E51300"/>
    <w:rsid w:val="00E524D5"/>
    <w:rsid w:val="00E53D9B"/>
    <w:rsid w:val="00EC5396"/>
    <w:rsid w:val="00F31DEF"/>
    <w:rsid w:val="00F4082E"/>
    <w:rsid w:val="00F46178"/>
    <w:rsid w:val="00F768A0"/>
    <w:rsid w:val="00F87934"/>
    <w:rsid w:val="00F94401"/>
    <w:rsid w:val="00FC0368"/>
    <w:rsid w:val="00FD1A3A"/>
    <w:rsid w:val="00FD52CC"/>
    <w:rsid w:val="00FD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96FD1"/>
  <w15:chartTrackingRefBased/>
  <w15:docId w15:val="{ADC5EDCD-9FA8-1146-9AEC-B7E7945A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4887"/>
    <w:pPr>
      <w:widowControl w:val="0"/>
      <w:autoSpaceDE w:val="0"/>
      <w:autoSpaceDN w:val="0"/>
      <w:ind w:left="441" w:hanging="342"/>
      <w:outlineLvl w:val="0"/>
    </w:pPr>
    <w:rPr>
      <w:rFonts w:ascii="Arial" w:eastAsia="Arial" w:hAnsi="Arial"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4887"/>
    <w:rPr>
      <w:rFonts w:ascii="Arial" w:eastAsia="Arial" w:hAnsi="Arial" w:cs="Arial"/>
      <w:b/>
      <w:bCs/>
      <w:sz w:val="29"/>
      <w:szCs w:val="29"/>
    </w:rPr>
  </w:style>
  <w:style w:type="paragraph" w:styleId="BodyText">
    <w:name w:val="Body Text"/>
    <w:basedOn w:val="Normal"/>
    <w:link w:val="BodyTextChar"/>
    <w:uiPriority w:val="1"/>
    <w:qFormat/>
    <w:rsid w:val="00AE4887"/>
    <w:pPr>
      <w:widowControl w:val="0"/>
      <w:autoSpaceDE w:val="0"/>
      <w:autoSpaceDN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AE4887"/>
    <w:rPr>
      <w:rFonts w:ascii="Times New Roman" w:eastAsia="Times New Roman" w:hAnsi="Times New Roman" w:cs="Times New Roman"/>
      <w:sz w:val="20"/>
      <w:szCs w:val="20"/>
    </w:rPr>
  </w:style>
  <w:style w:type="paragraph" w:styleId="ListParagraph">
    <w:name w:val="List Paragraph"/>
    <w:basedOn w:val="Normal"/>
    <w:uiPriority w:val="1"/>
    <w:qFormat/>
    <w:rsid w:val="00AE4887"/>
    <w:pPr>
      <w:widowControl w:val="0"/>
      <w:autoSpaceDE w:val="0"/>
      <w:autoSpaceDN w:val="0"/>
      <w:ind w:left="824" w:hanging="410"/>
    </w:pPr>
    <w:rPr>
      <w:rFonts w:ascii="Times New Roman" w:eastAsia="Times New Roman" w:hAnsi="Times New Roman" w:cs="Times New Roman"/>
      <w:sz w:val="22"/>
      <w:szCs w:val="22"/>
    </w:rPr>
  </w:style>
  <w:style w:type="paragraph" w:styleId="NormalWeb">
    <w:name w:val="Normal (Web)"/>
    <w:basedOn w:val="Normal"/>
    <w:uiPriority w:val="99"/>
    <w:semiHidden/>
    <w:unhideWhenUsed/>
    <w:rsid w:val="00190F0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90F0E"/>
  </w:style>
  <w:style w:type="character" w:styleId="Hyperlink">
    <w:name w:val="Hyperlink"/>
    <w:basedOn w:val="DefaultParagraphFont"/>
    <w:uiPriority w:val="99"/>
    <w:semiHidden/>
    <w:unhideWhenUsed/>
    <w:rsid w:val="00190F0E"/>
    <w:rPr>
      <w:color w:val="0000FF"/>
      <w:u w:val="single"/>
    </w:rPr>
  </w:style>
  <w:style w:type="character" w:styleId="Strong">
    <w:name w:val="Strong"/>
    <w:basedOn w:val="DefaultParagraphFont"/>
    <w:uiPriority w:val="22"/>
    <w:qFormat/>
    <w:rsid w:val="00190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8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aduate.ua.edu/faculty-staff/about-graduate-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1758</Words>
  <Characters>9424</Characters>
  <Application>Microsoft Office Word</Application>
  <DocSecurity>0</DocSecurity>
  <Lines>229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6</cp:revision>
  <dcterms:created xsi:type="dcterms:W3CDTF">2023-08-01T19:48:00Z</dcterms:created>
  <dcterms:modified xsi:type="dcterms:W3CDTF">2023-12-19T17:32:00Z</dcterms:modified>
</cp:coreProperties>
</file>