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49E6" w14:textId="289C8573" w:rsidR="001C5B49" w:rsidRDefault="001C5B49" w:rsidP="001C5B49">
      <w:pPr>
        <w:jc w:val="center"/>
        <w:rPr>
          <w:rFonts w:cstheme="minorHAnsi"/>
          <w:b/>
          <w:bCs/>
        </w:rPr>
      </w:pPr>
      <w:r>
        <w:rPr>
          <w:rFonts w:cstheme="minorHAnsi"/>
          <w:b/>
          <w:bCs/>
        </w:rPr>
        <w:t>Standards Identified for BER 558 (MA)</w:t>
      </w:r>
    </w:p>
    <w:p w14:paraId="25A80251" w14:textId="77777777" w:rsidR="001C5B49" w:rsidRDefault="001C5B49" w:rsidP="0082059A">
      <w:pPr>
        <w:rPr>
          <w:rFonts w:cstheme="minorHAnsi"/>
        </w:rPr>
      </w:pPr>
    </w:p>
    <w:p w14:paraId="5123CDE9" w14:textId="77777777" w:rsidR="00242BD4" w:rsidRPr="001F66FC" w:rsidRDefault="00242BD4" w:rsidP="00242BD4">
      <w:pPr>
        <w:jc w:val="center"/>
        <w:rPr>
          <w:rFonts w:cstheme="minorHAnsi"/>
          <w:b/>
          <w:bCs/>
          <w:color w:val="C00000"/>
          <w:sz w:val="20"/>
          <w:szCs w:val="20"/>
        </w:rPr>
      </w:pPr>
      <w:r w:rsidRPr="001F66FC">
        <w:rPr>
          <w:rFonts w:cstheme="minorHAnsi"/>
          <w:b/>
          <w:bCs/>
          <w:color w:val="C00000"/>
          <w:sz w:val="20"/>
          <w:szCs w:val="20"/>
        </w:rPr>
        <w:t>National Board for Professional Teaching Standards</w:t>
      </w:r>
    </w:p>
    <w:p w14:paraId="659F47AC" w14:textId="77777777" w:rsidR="00242BD4" w:rsidRDefault="00242BD4" w:rsidP="00242BD4">
      <w:pPr>
        <w:jc w:val="center"/>
        <w:rPr>
          <w:rFonts w:cstheme="minorHAnsi"/>
          <w:sz w:val="20"/>
          <w:szCs w:val="20"/>
        </w:rPr>
      </w:pPr>
    </w:p>
    <w:p w14:paraId="2A8D7E22" w14:textId="77777777" w:rsidR="00242BD4" w:rsidRPr="001F66FC" w:rsidRDefault="00242BD4" w:rsidP="00242BD4">
      <w:pPr>
        <w:rPr>
          <w:rFonts w:cstheme="minorHAnsi"/>
          <w:sz w:val="20"/>
          <w:szCs w:val="20"/>
        </w:rPr>
      </w:pPr>
      <w:r w:rsidRPr="001F66FC">
        <w:rPr>
          <w:rFonts w:cstheme="minorHAnsi"/>
          <w:sz w:val="20"/>
          <w:szCs w:val="20"/>
        </w:rPr>
        <w:t xml:space="preserve">The </w:t>
      </w:r>
      <w:r w:rsidRPr="001F66FC">
        <w:rPr>
          <w:rFonts w:cstheme="minorHAnsi"/>
          <w:b/>
          <w:bCs/>
          <w:i/>
          <w:iCs/>
          <w:color w:val="C00000"/>
          <w:sz w:val="20"/>
          <w:szCs w:val="20"/>
        </w:rPr>
        <w:t>National Board Five Core Propositions and Standards (NBPTS)</w:t>
      </w:r>
      <w:r w:rsidRPr="001F66FC">
        <w:rPr>
          <w:rFonts w:cstheme="minorHAnsi"/>
          <w:color w:val="C00000"/>
          <w:sz w:val="20"/>
          <w:szCs w:val="20"/>
        </w:rPr>
        <w:t xml:space="preserve"> </w:t>
      </w:r>
      <w:r w:rsidRPr="001F66FC">
        <w:rPr>
          <w:rFonts w:cstheme="minorHAnsi"/>
          <w:sz w:val="20"/>
          <w:szCs w:val="20"/>
        </w:rPr>
        <w:t xml:space="preserve">describe what accomplished </w:t>
      </w:r>
      <w:r w:rsidRPr="001F66FC">
        <w:rPr>
          <w:rFonts w:cstheme="minorHAnsi"/>
          <w:b/>
          <w:bCs/>
          <w:sz w:val="20"/>
          <w:szCs w:val="20"/>
        </w:rPr>
        <w:t>teachers</w:t>
      </w:r>
      <w:r w:rsidRPr="001F66FC">
        <w:rPr>
          <w:rFonts w:cstheme="minorHAnsi"/>
          <w:sz w:val="20"/>
          <w:szCs w:val="20"/>
        </w:rPr>
        <w:t xml:space="preserve"> should know and be able to do to have a positive impact on student learning.</w:t>
      </w:r>
    </w:p>
    <w:p w14:paraId="723B7C9B" w14:textId="77777777" w:rsidR="00DD5B5D" w:rsidRDefault="00DD5B5D" w:rsidP="0082059A"/>
    <w:p w14:paraId="6F283859" w14:textId="18BC01E7" w:rsidR="00DD5B5D" w:rsidRPr="00242BD4" w:rsidRDefault="00DD5B5D" w:rsidP="00DD5B5D">
      <w:pPr>
        <w:pStyle w:val="ListParagraph"/>
        <w:numPr>
          <w:ilvl w:val="0"/>
          <w:numId w:val="1"/>
        </w:numPr>
        <w:ind w:left="360"/>
        <w:rPr>
          <w:color w:val="000000" w:themeColor="text1"/>
          <w:sz w:val="20"/>
          <w:szCs w:val="20"/>
        </w:rPr>
      </w:pPr>
      <w:r w:rsidRPr="00242BD4">
        <w:rPr>
          <w:color w:val="000000" w:themeColor="text1"/>
          <w:sz w:val="20"/>
          <w:szCs w:val="20"/>
        </w:rPr>
        <w:t>The Learning and Learning: Proposition 1: Teachers are committed to students and their learning</w:t>
      </w:r>
      <w:r w:rsidR="00B543F3" w:rsidRPr="00242BD4">
        <w:rPr>
          <w:color w:val="000000" w:themeColor="text1"/>
          <w:sz w:val="20"/>
          <w:szCs w:val="20"/>
        </w:rPr>
        <w:t>.</w:t>
      </w:r>
    </w:p>
    <w:p w14:paraId="750699DA" w14:textId="77777777" w:rsidR="00DD5B5D" w:rsidRPr="00242BD4" w:rsidRDefault="00DD5B5D" w:rsidP="00DD5B5D">
      <w:pPr>
        <w:ind w:left="360"/>
        <w:rPr>
          <w:color w:val="000000" w:themeColor="text1"/>
          <w:sz w:val="20"/>
          <w:szCs w:val="20"/>
        </w:rPr>
      </w:pPr>
    </w:p>
    <w:p w14:paraId="19493337" w14:textId="7FA1B2BD" w:rsidR="00DD5B5D" w:rsidRPr="00242BD4" w:rsidRDefault="00DD5B5D" w:rsidP="00DD5B5D">
      <w:pPr>
        <w:pStyle w:val="ListParagraph"/>
        <w:numPr>
          <w:ilvl w:val="0"/>
          <w:numId w:val="1"/>
        </w:numPr>
        <w:ind w:left="360"/>
        <w:rPr>
          <w:color w:val="000000" w:themeColor="text1"/>
          <w:sz w:val="20"/>
          <w:szCs w:val="20"/>
        </w:rPr>
      </w:pPr>
      <w:r w:rsidRPr="00242BD4">
        <w:rPr>
          <w:color w:val="000000" w:themeColor="text1"/>
          <w:sz w:val="20"/>
          <w:szCs w:val="20"/>
        </w:rPr>
        <w:t>Learning Environments: Proposition 1: Teachers are committed to students and their learning</w:t>
      </w:r>
      <w:r w:rsidR="00B543F3" w:rsidRPr="00242BD4">
        <w:rPr>
          <w:color w:val="000000" w:themeColor="text1"/>
          <w:sz w:val="20"/>
          <w:szCs w:val="20"/>
        </w:rPr>
        <w:t>.</w:t>
      </w:r>
      <w:r w:rsidRPr="00242BD4">
        <w:rPr>
          <w:color w:val="000000" w:themeColor="text1"/>
          <w:sz w:val="20"/>
          <w:szCs w:val="20"/>
        </w:rPr>
        <w:t xml:space="preserve"> </w:t>
      </w:r>
    </w:p>
    <w:p w14:paraId="14CC73CD" w14:textId="77777777" w:rsidR="00DD5B5D" w:rsidRPr="00242BD4" w:rsidRDefault="00DD5B5D" w:rsidP="001C5B49">
      <w:pPr>
        <w:rPr>
          <w:color w:val="000000" w:themeColor="text1"/>
          <w:sz w:val="20"/>
          <w:szCs w:val="20"/>
        </w:rPr>
      </w:pPr>
    </w:p>
    <w:p w14:paraId="02832B4F" w14:textId="492D809A" w:rsidR="00DD5B5D" w:rsidRPr="00242BD4" w:rsidRDefault="00DD5B5D" w:rsidP="001C5B49">
      <w:pPr>
        <w:pStyle w:val="ListParagraph"/>
        <w:numPr>
          <w:ilvl w:val="0"/>
          <w:numId w:val="3"/>
        </w:numPr>
        <w:ind w:left="360"/>
        <w:rPr>
          <w:color w:val="000000" w:themeColor="text1"/>
          <w:sz w:val="20"/>
          <w:szCs w:val="20"/>
        </w:rPr>
      </w:pPr>
      <w:r w:rsidRPr="00242BD4">
        <w:rPr>
          <w:color w:val="000000" w:themeColor="text1"/>
          <w:sz w:val="20"/>
          <w:szCs w:val="20"/>
        </w:rPr>
        <w:t>Instructional Practice: Proposition 3: Teachers are responsible for managing and monitoring student learning</w:t>
      </w:r>
      <w:r w:rsidR="00B543F3" w:rsidRPr="00242BD4">
        <w:rPr>
          <w:color w:val="000000" w:themeColor="text1"/>
          <w:sz w:val="20"/>
          <w:szCs w:val="20"/>
        </w:rPr>
        <w:t>.</w:t>
      </w:r>
    </w:p>
    <w:p w14:paraId="7D213323" w14:textId="77777777" w:rsidR="00DD5B5D" w:rsidRPr="00C512EA" w:rsidRDefault="00DD5B5D" w:rsidP="00DD5B5D">
      <w:pPr>
        <w:ind w:left="360"/>
        <w:rPr>
          <w:color w:val="000000" w:themeColor="text1"/>
        </w:rPr>
      </w:pPr>
    </w:p>
    <w:p w14:paraId="6BC154A8" w14:textId="77777777" w:rsidR="00EF109A" w:rsidRPr="00D231F5" w:rsidRDefault="00EF109A" w:rsidP="00EF109A">
      <w:pPr>
        <w:jc w:val="center"/>
        <w:rPr>
          <w:b/>
          <w:bCs/>
          <w:color w:val="000000" w:themeColor="text1"/>
          <w:sz w:val="20"/>
          <w:szCs w:val="20"/>
        </w:rPr>
      </w:pPr>
      <w:r>
        <w:rPr>
          <w:color w:val="000000" w:themeColor="text1"/>
        </w:rPr>
        <w:br w:type="column"/>
      </w:r>
      <w:r w:rsidRPr="00D231F5">
        <w:rPr>
          <w:b/>
          <w:bCs/>
          <w:color w:val="C00000"/>
          <w:sz w:val="20"/>
          <w:szCs w:val="20"/>
        </w:rPr>
        <w:lastRenderedPageBreak/>
        <w:t>CAEP Standards</w:t>
      </w:r>
    </w:p>
    <w:p w14:paraId="72D9A624" w14:textId="77777777" w:rsidR="00EF109A" w:rsidRPr="00D231F5" w:rsidRDefault="00EF109A" w:rsidP="00EF109A">
      <w:pPr>
        <w:rPr>
          <w:rFonts w:cstheme="minorHAnsi"/>
          <w:b/>
          <w:bCs/>
          <w:i/>
          <w:iCs/>
          <w:sz w:val="20"/>
          <w:szCs w:val="20"/>
        </w:rPr>
      </w:pPr>
    </w:p>
    <w:p w14:paraId="22C7AFB0" w14:textId="77777777" w:rsidR="00EF109A" w:rsidRPr="009C703C" w:rsidRDefault="00EF109A" w:rsidP="00EF109A">
      <w:pPr>
        <w:rPr>
          <w:rFonts w:cstheme="minorHAnsi"/>
          <w:color w:val="000000" w:themeColor="text1"/>
          <w:sz w:val="20"/>
          <w:szCs w:val="20"/>
        </w:rPr>
      </w:pPr>
      <w:r w:rsidRPr="00D231F5">
        <w:rPr>
          <w:rFonts w:cstheme="minorHAnsi"/>
          <w:color w:val="000000" w:themeColor="text1"/>
          <w:sz w:val="20"/>
          <w:szCs w:val="20"/>
          <w:shd w:val="clear" w:color="auto" w:fill="FFFFFF"/>
        </w:rPr>
        <w:t xml:space="preserve">The </w:t>
      </w:r>
      <w:r w:rsidRPr="00D231F5">
        <w:rPr>
          <w:rFonts w:cstheme="minorHAnsi"/>
          <w:i/>
          <w:iCs/>
          <w:color w:val="C00000"/>
          <w:sz w:val="20"/>
          <w:szCs w:val="20"/>
          <w:shd w:val="clear" w:color="auto" w:fill="FFFFFF"/>
        </w:rPr>
        <w:t>CAEP Standards for Accreditation at the Advanced-Level</w:t>
      </w:r>
      <w:r w:rsidRPr="00D231F5">
        <w:rPr>
          <w:rFonts w:cstheme="minorHAnsi"/>
          <w:color w:val="C00000"/>
          <w:sz w:val="20"/>
          <w:szCs w:val="20"/>
          <w:shd w:val="clear" w:color="auto" w:fill="FFFFFF"/>
        </w:rPr>
        <w:t xml:space="preserve"> </w:t>
      </w:r>
      <w:r w:rsidRPr="00D231F5">
        <w:rPr>
          <w:rFonts w:cstheme="minorHAnsi"/>
          <w:color w:val="000000" w:themeColor="text1"/>
          <w:sz w:val="20"/>
          <w:szCs w:val="20"/>
          <w:shd w:val="clear" w:color="auto" w:fill="FFFFFF"/>
        </w:rPr>
        <w:t>reflect the voice of the education field – on what makes a quality educator.</w:t>
      </w:r>
      <w:r w:rsidRPr="00D231F5">
        <w:rPr>
          <w:rFonts w:cstheme="minorHAnsi"/>
          <w:color w:val="000000" w:themeColor="text1"/>
          <w:sz w:val="20"/>
          <w:szCs w:val="20"/>
        </w:rPr>
        <w:t xml:space="preserve"> </w:t>
      </w:r>
      <w:r w:rsidRPr="00D231F5">
        <w:rPr>
          <w:rFonts w:cstheme="minorHAnsi"/>
          <w:color w:val="000000" w:themeColor="text1"/>
          <w:sz w:val="20"/>
          <w:szCs w:val="20"/>
          <w:shd w:val="clear" w:color="auto" w:fill="FFFFFF"/>
        </w:rPr>
        <w:t xml:space="preserve">Advanced-level programs are designed to develop P-12 teachers who have already completed an initial preparation program, currently licensed administrators, other certificated (or similar state language) school professionals for employment in P-12 schools/districts. </w:t>
      </w:r>
      <w:r w:rsidRPr="00D231F5">
        <w:rPr>
          <w:rFonts w:cstheme="minorHAnsi"/>
          <w:b/>
          <w:bCs/>
          <w:color w:val="000000" w:themeColor="text1"/>
          <w:sz w:val="20"/>
          <w:szCs w:val="20"/>
          <w:shd w:val="clear" w:color="auto" w:fill="FFFFFF"/>
        </w:rPr>
        <w:t xml:space="preserve">CAEP Standards must be met by all advanced certification students. </w:t>
      </w:r>
    </w:p>
    <w:p w14:paraId="61ABA91C" w14:textId="77777777" w:rsidR="00EF109A" w:rsidRPr="00D231F5" w:rsidRDefault="00EF109A" w:rsidP="00EF109A">
      <w:pPr>
        <w:jc w:val="center"/>
        <w:rPr>
          <w:sz w:val="20"/>
          <w:szCs w:val="20"/>
        </w:rPr>
      </w:pPr>
    </w:p>
    <w:p w14:paraId="11837D87" w14:textId="77777777" w:rsidR="00EF109A" w:rsidRPr="00D231F5" w:rsidRDefault="00EF109A" w:rsidP="00EF109A">
      <w:pPr>
        <w:pStyle w:val="ListParagraph"/>
        <w:numPr>
          <w:ilvl w:val="0"/>
          <w:numId w:val="2"/>
        </w:numPr>
        <w:ind w:left="360"/>
        <w:rPr>
          <w:color w:val="000000" w:themeColor="text1"/>
          <w:sz w:val="20"/>
          <w:szCs w:val="20"/>
        </w:rPr>
      </w:pPr>
      <w:r w:rsidRPr="00D231F5">
        <w:rPr>
          <w:color w:val="000000" w:themeColor="text1"/>
          <w:sz w:val="20"/>
          <w:szCs w:val="20"/>
        </w:rPr>
        <w:t>The Learning and Learning: APPLICATION of DATA LITERACY</w:t>
      </w:r>
    </w:p>
    <w:p w14:paraId="7C735C29" w14:textId="77777777" w:rsidR="00EF109A" w:rsidRPr="00D231F5" w:rsidRDefault="00EF109A" w:rsidP="00EF109A">
      <w:pPr>
        <w:ind w:left="360"/>
        <w:rPr>
          <w:color w:val="000000" w:themeColor="text1"/>
          <w:sz w:val="20"/>
          <w:szCs w:val="20"/>
        </w:rPr>
      </w:pPr>
    </w:p>
    <w:p w14:paraId="70A392F8" w14:textId="77777777" w:rsidR="00EF109A" w:rsidRPr="00D231F5" w:rsidRDefault="00EF109A" w:rsidP="00EF109A">
      <w:pPr>
        <w:pStyle w:val="ListParagraph"/>
        <w:numPr>
          <w:ilvl w:val="0"/>
          <w:numId w:val="2"/>
        </w:numPr>
        <w:ind w:left="360"/>
        <w:rPr>
          <w:color w:val="000000" w:themeColor="text1"/>
          <w:sz w:val="20"/>
          <w:szCs w:val="20"/>
        </w:rPr>
      </w:pPr>
      <w:r w:rsidRPr="00D231F5">
        <w:rPr>
          <w:color w:val="000000" w:themeColor="text1"/>
          <w:sz w:val="20"/>
          <w:szCs w:val="20"/>
        </w:rPr>
        <w:t>Learning Environments: EMPLOYMENT of DATA ANALYSIS and EVIDENCE to develop supportive school environments.</w:t>
      </w:r>
    </w:p>
    <w:p w14:paraId="7A182621" w14:textId="77777777" w:rsidR="00EF109A" w:rsidRDefault="00EF109A" w:rsidP="00EF109A">
      <w:pPr>
        <w:rPr>
          <w:color w:val="000000" w:themeColor="text1"/>
          <w:sz w:val="20"/>
          <w:szCs w:val="20"/>
        </w:rPr>
      </w:pPr>
    </w:p>
    <w:p w14:paraId="6E5DE538" w14:textId="02D6CAEB" w:rsidR="00AB0473" w:rsidRDefault="00EF109A" w:rsidP="00EF109A">
      <w:pPr>
        <w:pStyle w:val="ListParagraph"/>
        <w:tabs>
          <w:tab w:val="left" w:pos="360"/>
        </w:tabs>
        <w:ind w:left="0"/>
        <w:rPr>
          <w:color w:val="000000" w:themeColor="text1"/>
          <w:sz w:val="20"/>
          <w:szCs w:val="20"/>
        </w:rPr>
      </w:pPr>
      <w:r>
        <w:rPr>
          <w:color w:val="000000" w:themeColor="text1"/>
          <w:sz w:val="20"/>
          <w:szCs w:val="20"/>
        </w:rPr>
        <w:t>4.</w:t>
      </w:r>
      <w:r>
        <w:rPr>
          <w:color w:val="000000" w:themeColor="text1"/>
          <w:sz w:val="20"/>
          <w:szCs w:val="20"/>
        </w:rPr>
        <w:tab/>
      </w:r>
      <w:r w:rsidRPr="00EF109A">
        <w:rPr>
          <w:color w:val="000000" w:themeColor="text1"/>
          <w:sz w:val="20"/>
          <w:szCs w:val="20"/>
        </w:rPr>
        <w:t xml:space="preserve">Instructional Practice: USE of RESEARCH and UNDERSTANDING of qualitative, quantitative, and/or mixed </w:t>
      </w:r>
      <w:r>
        <w:rPr>
          <w:color w:val="000000" w:themeColor="text1"/>
          <w:sz w:val="20"/>
          <w:szCs w:val="20"/>
        </w:rPr>
        <w:tab/>
      </w:r>
      <w:r w:rsidRPr="00EF109A">
        <w:rPr>
          <w:color w:val="000000" w:themeColor="text1"/>
          <w:sz w:val="20"/>
          <w:szCs w:val="20"/>
        </w:rPr>
        <w:t>methods RESEARCH METHODOLOGIES.</w:t>
      </w:r>
    </w:p>
    <w:p w14:paraId="49DAF231" w14:textId="77777777" w:rsidR="00AB0473" w:rsidRPr="00AB0473" w:rsidRDefault="00AB0473" w:rsidP="00AB0473">
      <w:pPr>
        <w:pStyle w:val="ListParagraph"/>
        <w:ind w:left="360"/>
        <w:rPr>
          <w:sz w:val="20"/>
          <w:szCs w:val="20"/>
        </w:rPr>
      </w:pPr>
    </w:p>
    <w:p w14:paraId="056175DE" w14:textId="77777777" w:rsidR="00AB0473" w:rsidRPr="002D0D0C" w:rsidRDefault="00AB0473" w:rsidP="00AB0473">
      <w:pPr>
        <w:jc w:val="center"/>
        <w:rPr>
          <w:rFonts w:cstheme="minorHAnsi"/>
          <w:b/>
          <w:bCs/>
          <w:color w:val="C00000"/>
          <w:sz w:val="20"/>
          <w:szCs w:val="20"/>
        </w:rPr>
      </w:pPr>
      <w:r>
        <w:rPr>
          <w:color w:val="000000" w:themeColor="text1"/>
          <w:sz w:val="20"/>
          <w:szCs w:val="20"/>
        </w:rPr>
        <w:br w:type="column"/>
      </w:r>
      <w:r w:rsidRPr="002D0D0C">
        <w:rPr>
          <w:rFonts w:cstheme="minorHAnsi"/>
          <w:b/>
          <w:bCs/>
          <w:color w:val="C00000"/>
          <w:sz w:val="20"/>
          <w:szCs w:val="20"/>
        </w:rPr>
        <w:lastRenderedPageBreak/>
        <w:t>ISTE Standards and Components</w:t>
      </w:r>
    </w:p>
    <w:p w14:paraId="06F384BE" w14:textId="77777777" w:rsidR="00AB0473" w:rsidRPr="002D0D0C" w:rsidRDefault="00AB0473" w:rsidP="00AB0473">
      <w:pPr>
        <w:rPr>
          <w:rFonts w:cstheme="minorHAnsi"/>
          <w:b/>
          <w:bCs/>
          <w:i/>
          <w:iCs/>
          <w:color w:val="C00000"/>
          <w:sz w:val="20"/>
          <w:szCs w:val="20"/>
        </w:rPr>
      </w:pPr>
    </w:p>
    <w:p w14:paraId="47381E40" w14:textId="77777777" w:rsidR="00AB0473" w:rsidRPr="002D0D0C" w:rsidRDefault="00AB0473" w:rsidP="00AB0473">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03019EB3" w14:textId="4EED640D" w:rsidR="00AB0473" w:rsidRDefault="00AB0473" w:rsidP="00AB0473">
      <w:pPr>
        <w:pStyle w:val="ListParagraph"/>
        <w:ind w:left="360"/>
        <w:rPr>
          <w:color w:val="000000" w:themeColor="text1"/>
          <w:sz w:val="20"/>
          <w:szCs w:val="20"/>
        </w:rPr>
      </w:pPr>
    </w:p>
    <w:p w14:paraId="05335A90" w14:textId="74CFF519" w:rsidR="00AB0473" w:rsidRDefault="00AB0473" w:rsidP="00AB0473">
      <w:pPr>
        <w:pStyle w:val="ListParagraph"/>
        <w:tabs>
          <w:tab w:val="left" w:pos="360"/>
        </w:tabs>
        <w:ind w:left="360" w:hanging="360"/>
        <w:rPr>
          <w:sz w:val="20"/>
          <w:szCs w:val="20"/>
        </w:rPr>
      </w:pPr>
      <w:r>
        <w:rPr>
          <w:b/>
          <w:bCs/>
          <w:color w:val="C00000"/>
          <w:sz w:val="20"/>
          <w:szCs w:val="20"/>
        </w:rPr>
        <w:t>7)</w:t>
      </w:r>
      <w:r>
        <w:rPr>
          <w:b/>
          <w:bCs/>
          <w:color w:val="C00000"/>
          <w:sz w:val="20"/>
          <w:szCs w:val="20"/>
        </w:rPr>
        <w:tab/>
      </w:r>
      <w:r w:rsidRPr="002D0D0C">
        <w:rPr>
          <w:b/>
          <w:bCs/>
          <w:color w:val="C00000"/>
          <w:sz w:val="20"/>
          <w:szCs w:val="20"/>
        </w:rPr>
        <w:t>Learning Catalyst - Analyst.</w:t>
      </w:r>
      <w:r w:rsidRPr="002D0D0C">
        <w:rPr>
          <w:color w:val="C00000"/>
          <w:sz w:val="20"/>
          <w:szCs w:val="20"/>
        </w:rPr>
        <w:t xml:space="preserve">  </w:t>
      </w:r>
      <w:r w:rsidRPr="002D0D0C">
        <w:rPr>
          <w:sz w:val="20"/>
          <w:szCs w:val="20"/>
        </w:rPr>
        <w:t>Educators understand and use data to drive their instruction and support students in achieving their learning goals.</w:t>
      </w:r>
    </w:p>
    <w:p w14:paraId="41009325" w14:textId="77777777" w:rsidR="00AB0473" w:rsidRPr="002D0D0C" w:rsidRDefault="00AB0473" w:rsidP="00AB0473">
      <w:pPr>
        <w:pStyle w:val="ListParagraph"/>
        <w:tabs>
          <w:tab w:val="left" w:pos="360"/>
        </w:tabs>
        <w:ind w:left="360" w:hanging="360"/>
        <w:rPr>
          <w:sz w:val="20"/>
          <w:szCs w:val="20"/>
        </w:rPr>
      </w:pPr>
    </w:p>
    <w:p w14:paraId="5063DA91" w14:textId="1100EC0C" w:rsidR="00AB0473" w:rsidRPr="00AB0473" w:rsidRDefault="00AB0473" w:rsidP="00AB0473">
      <w:pPr>
        <w:ind w:left="720" w:hanging="360"/>
        <w:rPr>
          <w:sz w:val="20"/>
          <w:szCs w:val="20"/>
        </w:rPr>
      </w:pPr>
      <w:r>
        <w:rPr>
          <w:sz w:val="20"/>
          <w:szCs w:val="20"/>
        </w:rPr>
        <w:t>c)</w:t>
      </w:r>
      <w:r>
        <w:rPr>
          <w:sz w:val="20"/>
          <w:szCs w:val="20"/>
        </w:rPr>
        <w:tab/>
      </w:r>
      <w:r w:rsidRPr="00AB0473">
        <w:rPr>
          <w:sz w:val="20"/>
          <w:szCs w:val="20"/>
        </w:rPr>
        <w:t>Use assessment data to guide progress and communicate with students, parents and education stakeholders to build student self-direction.</w:t>
      </w:r>
    </w:p>
    <w:p w14:paraId="4FEAEEC5" w14:textId="21C4BB34" w:rsidR="00DD5B5D" w:rsidRPr="00EF109A" w:rsidRDefault="00DD5B5D" w:rsidP="00AB0473">
      <w:pPr>
        <w:pStyle w:val="ListParagraph"/>
        <w:tabs>
          <w:tab w:val="left" w:pos="360"/>
        </w:tabs>
        <w:ind w:hanging="360"/>
        <w:rPr>
          <w:color w:val="000000" w:themeColor="text1"/>
          <w:sz w:val="20"/>
          <w:szCs w:val="20"/>
        </w:rPr>
      </w:pPr>
    </w:p>
    <w:sectPr w:rsidR="00DD5B5D" w:rsidRPr="00EF109A"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598"/>
    <w:multiLevelType w:val="hybridMultilevel"/>
    <w:tmpl w:val="291EB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F011C"/>
    <w:multiLevelType w:val="hybridMultilevel"/>
    <w:tmpl w:val="708036E0"/>
    <w:lvl w:ilvl="0" w:tplc="5574B230">
      <w:start w:val="1"/>
      <w:numFmt w:val="decimal"/>
      <w:lvlText w:val="%1)"/>
      <w:lvlJc w:val="left"/>
      <w:pPr>
        <w:ind w:left="36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63D73"/>
    <w:multiLevelType w:val="hybridMultilevel"/>
    <w:tmpl w:val="02A26A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D70BB"/>
    <w:multiLevelType w:val="hybridMultilevel"/>
    <w:tmpl w:val="0296AF7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219B9"/>
    <w:multiLevelType w:val="hybridMultilevel"/>
    <w:tmpl w:val="3D9CDF70"/>
    <w:lvl w:ilvl="0" w:tplc="696497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1413778">
    <w:abstractNumId w:val="3"/>
  </w:num>
  <w:num w:numId="2" w16cid:durableId="1146164327">
    <w:abstractNumId w:val="0"/>
  </w:num>
  <w:num w:numId="3" w16cid:durableId="81993940">
    <w:abstractNumId w:val="4"/>
  </w:num>
  <w:num w:numId="4" w16cid:durableId="207305448">
    <w:abstractNumId w:val="2"/>
  </w:num>
  <w:num w:numId="5" w16cid:durableId="453721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D0"/>
    <w:rsid w:val="00110E71"/>
    <w:rsid w:val="00186FBD"/>
    <w:rsid w:val="001C5B49"/>
    <w:rsid w:val="001F623A"/>
    <w:rsid w:val="00204133"/>
    <w:rsid w:val="00242BD4"/>
    <w:rsid w:val="00246ED7"/>
    <w:rsid w:val="0027072E"/>
    <w:rsid w:val="00294C99"/>
    <w:rsid w:val="00322892"/>
    <w:rsid w:val="003B7138"/>
    <w:rsid w:val="004071F4"/>
    <w:rsid w:val="004711C1"/>
    <w:rsid w:val="004F0517"/>
    <w:rsid w:val="0054010F"/>
    <w:rsid w:val="006B0770"/>
    <w:rsid w:val="00777075"/>
    <w:rsid w:val="0082059A"/>
    <w:rsid w:val="0082732E"/>
    <w:rsid w:val="00954E78"/>
    <w:rsid w:val="009759EF"/>
    <w:rsid w:val="0099472C"/>
    <w:rsid w:val="009A063F"/>
    <w:rsid w:val="00A85F43"/>
    <w:rsid w:val="00A919A0"/>
    <w:rsid w:val="00AB0473"/>
    <w:rsid w:val="00AC6366"/>
    <w:rsid w:val="00AD5B18"/>
    <w:rsid w:val="00B543F3"/>
    <w:rsid w:val="00B63115"/>
    <w:rsid w:val="00B840F1"/>
    <w:rsid w:val="00BE51E8"/>
    <w:rsid w:val="00BF0090"/>
    <w:rsid w:val="00C512EA"/>
    <w:rsid w:val="00C61E70"/>
    <w:rsid w:val="00CC163B"/>
    <w:rsid w:val="00D118E1"/>
    <w:rsid w:val="00D617F4"/>
    <w:rsid w:val="00DD47D9"/>
    <w:rsid w:val="00DD5B5D"/>
    <w:rsid w:val="00E972D9"/>
    <w:rsid w:val="00ED1821"/>
    <w:rsid w:val="00EF109A"/>
    <w:rsid w:val="00F037D0"/>
    <w:rsid w:val="00F6039C"/>
    <w:rsid w:val="00F70A2B"/>
    <w:rsid w:val="00F90862"/>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CC5ED8"/>
  <w15:chartTrackingRefBased/>
  <w15:docId w15:val="{6E285013-B4B1-8647-A18C-65348E85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96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5</cp:revision>
  <dcterms:created xsi:type="dcterms:W3CDTF">2023-07-11T14:45:00Z</dcterms:created>
  <dcterms:modified xsi:type="dcterms:W3CDTF">2023-07-12T13:42:00Z</dcterms:modified>
</cp:coreProperties>
</file>